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DA49C" w14:textId="77777777" w:rsidR="00FF0429" w:rsidRPr="00BC4616" w:rsidRDefault="00FF0429" w:rsidP="00FF0429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BC4616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14:paraId="6390C6B7" w14:textId="77777777" w:rsidR="00FF0429" w:rsidRDefault="00FF0429" w:rsidP="00FF0429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BC4616">
        <w:rPr>
          <w:rFonts w:ascii="Times New Roman" w:hAnsi="Times New Roman" w:cs="Times New Roman"/>
          <w:sz w:val="28"/>
          <w:szCs w:val="28"/>
        </w:rPr>
        <w:t>решением Думы Соликамского муниципального</w:t>
      </w:r>
      <w:r w:rsidRPr="00FB16D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14:paraId="442456B6" w14:textId="60E4D8BB" w:rsidR="00FF0429" w:rsidRPr="00FB16D2" w:rsidRDefault="00FF0429" w:rsidP="00FF0429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FB16D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25.12.2025 </w:t>
      </w:r>
      <w:r w:rsidRPr="00FB16D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786</w:t>
      </w:r>
    </w:p>
    <w:p w14:paraId="411F641A" w14:textId="77777777" w:rsidR="00FF0429" w:rsidRPr="00FB16D2" w:rsidRDefault="00FF0429" w:rsidP="00FF0429">
      <w:pPr>
        <w:spacing w:before="240" w:after="0" w:line="240" w:lineRule="exact"/>
        <w:ind w:right="57" w:firstLine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6C500712" w14:textId="77777777" w:rsidR="00FF0429" w:rsidRPr="00FB16D2" w:rsidRDefault="00FF0429" w:rsidP="00FF0429">
      <w:pPr>
        <w:spacing w:after="0" w:line="240" w:lineRule="exact"/>
        <w:ind w:right="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 xml:space="preserve">заслушивания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рассмотрения 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ежегодного отчета главы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 - главы администрации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 о результатах его деятельности, деятельности администрации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округа, в том числе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решении вопросов, поставленных Думой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14:paraId="552C1E45" w14:textId="77777777" w:rsidR="00FF0429" w:rsidRPr="00FB16D2" w:rsidRDefault="00FF0429" w:rsidP="00FF0429">
      <w:pPr>
        <w:pStyle w:val="a7"/>
        <w:spacing w:before="240" w:after="240" w:line="25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18922A17" w14:textId="77777777" w:rsidR="00FF0429" w:rsidRPr="00A64C1F" w:rsidRDefault="00FF0429" w:rsidP="00FF0429">
      <w:pPr>
        <w:spacing w:after="0" w:line="320" w:lineRule="exact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1.1. Порядок заслушивания </w:t>
      </w:r>
      <w:r>
        <w:rPr>
          <w:rFonts w:ascii="Times New Roman" w:hAnsi="Times New Roman" w:cs="Times New Roman"/>
          <w:sz w:val="28"/>
          <w:szCs w:val="28"/>
        </w:rPr>
        <w:t xml:space="preserve">и рассмотрения </w:t>
      </w:r>
      <w:r w:rsidRPr="00A64C1F">
        <w:rPr>
          <w:rFonts w:ascii="Times New Roman" w:hAnsi="Times New Roman" w:cs="Times New Roman"/>
          <w:sz w:val="28"/>
          <w:szCs w:val="28"/>
        </w:rPr>
        <w:t xml:space="preserve">ежегодного отчета главы муниципального округа – 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288F08" wp14:editId="4D03E931">
            <wp:extent cx="7620" cy="76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>главы администрации Соликамского муниципального округа о результатах его деятельности, деятельности администрации Соликамского муниципального округа, в том числе о решении вопросов, поставленных Думой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C1F"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 Российской Федерации от 20 марта 2025 г. № 33-ФЗ «Об общих принципах организации местного самоуправления в единой системе публичной власти</w:t>
      </w:r>
      <w:r w:rsidRPr="00A64C1F">
        <w:rPr>
          <w:rFonts w:ascii="Times New Roman" w:hAnsi="Times New Roman" w:cs="Times New Roman"/>
          <w:sz w:val="28"/>
          <w:szCs w:val="28"/>
        </w:rPr>
        <w:t>», Уставом Соликамского муниципального округа (далее – Порядок, Глава округа, Отчет Главы округа, Администрация, Дума).</w:t>
      </w:r>
    </w:p>
    <w:p w14:paraId="3A6572D9" w14:textId="77777777" w:rsidR="00FF0429" w:rsidRPr="00A64C1F" w:rsidRDefault="00FF0429" w:rsidP="00FF0429">
      <w:pPr>
        <w:spacing w:after="0" w:line="320" w:lineRule="exact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1.2. Настоящий Порядок устанавливает структуру и содержание Отчета Главы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опр</w:t>
      </w:r>
      <w:r>
        <w:rPr>
          <w:rFonts w:ascii="Times New Roman" w:hAnsi="Times New Roman" w:cs="Times New Roman"/>
          <w:sz w:val="28"/>
          <w:szCs w:val="28"/>
        </w:rPr>
        <w:t xml:space="preserve">еделяет порядок представления, </w:t>
      </w:r>
      <w:r w:rsidRPr="00A64C1F">
        <w:rPr>
          <w:rFonts w:ascii="Times New Roman" w:hAnsi="Times New Roman" w:cs="Times New Roman"/>
          <w:sz w:val="28"/>
          <w:szCs w:val="28"/>
        </w:rPr>
        <w:t>заслушивания</w:t>
      </w:r>
      <w:r>
        <w:rPr>
          <w:rFonts w:ascii="Times New Roman" w:hAnsi="Times New Roman" w:cs="Times New Roman"/>
          <w:sz w:val="28"/>
          <w:szCs w:val="28"/>
        </w:rPr>
        <w:t xml:space="preserve"> и рассмотрения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Отчета Главы округа, критерии оценки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Главы округа</w:t>
      </w:r>
      <w:r w:rsidRPr="00A64C1F">
        <w:rPr>
          <w:rFonts w:ascii="Times New Roman" w:hAnsi="Times New Roman" w:cs="Times New Roman"/>
          <w:sz w:val="28"/>
          <w:szCs w:val="28"/>
        </w:rPr>
        <w:t xml:space="preserve">, порядок принятия Думой решения об утверждении Отчета Главы 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15DAFD" wp14:editId="237EDBC0">
            <wp:extent cx="7620" cy="876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>округа и оценке деятельности Главы округа за отчетный период.</w:t>
      </w:r>
    </w:p>
    <w:p w14:paraId="60F3B50A" w14:textId="77777777" w:rsidR="00FF0429" w:rsidRDefault="00FF0429" w:rsidP="00FF0429">
      <w:pPr>
        <w:spacing w:after="0" w:line="320" w:lineRule="exact"/>
        <w:ind w:left="23" w:right="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1.3. Под отчетным периодом понимается календарный год – с 1 января по 31 декабря.</w:t>
      </w:r>
    </w:p>
    <w:p w14:paraId="0075220B" w14:textId="77777777" w:rsidR="00FF0429" w:rsidRPr="00AC1686" w:rsidRDefault="00FF0429" w:rsidP="00FF0429">
      <w:pPr>
        <w:spacing w:after="0" w:line="320" w:lineRule="exact"/>
        <w:ind w:left="23" w:right="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4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AC1686">
        <w:rPr>
          <w:rFonts w:ascii="Times New Roman" w:hAnsi="Times New Roman" w:cs="Times New Roman"/>
          <w:sz w:val="28"/>
          <w:szCs w:val="28"/>
        </w:rPr>
        <w:t>Отчёт Главы округа подлежит официальному обнародованию в порядке, установленном Уставом Соликамского муниципального округа, и размещению на официальных сайтах Думы и Администрации в информационно</w:t>
      </w:r>
      <w:r w:rsidRPr="00AC1686">
        <w:rPr>
          <w:rFonts w:ascii="Times New Roman" w:hAnsi="Times New Roman" w:cs="Times New Roman"/>
          <w:sz w:val="28"/>
          <w:szCs w:val="28"/>
        </w:rPr>
        <w:noBreakHyphen/>
        <w:t>телекоммуникационной сети «Интернет».</w:t>
      </w:r>
    </w:p>
    <w:p w14:paraId="28A7B892" w14:textId="77777777" w:rsidR="00FF0429" w:rsidRDefault="00FF0429" w:rsidP="00FF0429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6071D6" w14:textId="77777777" w:rsidR="00FF0429" w:rsidRDefault="00FF0429" w:rsidP="00FF0429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II. Структура и содержание Отчета Главы округа</w:t>
      </w:r>
    </w:p>
    <w:p w14:paraId="1FFBF7F2" w14:textId="77777777" w:rsidR="00FF0429" w:rsidRPr="00A64C1F" w:rsidRDefault="00FF0429" w:rsidP="00FF0429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3CEF1" w14:textId="77777777" w:rsidR="00FF0429" w:rsidRPr="00A64C1F" w:rsidRDefault="00FF0429" w:rsidP="00FF0429">
      <w:pPr>
        <w:spacing w:after="0" w:line="320" w:lineRule="exact"/>
        <w:ind w:left="68" w:right="10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C1254C" wp14:editId="10C0B891">
            <wp:extent cx="7620" cy="76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 xml:space="preserve">2.1. Отчет Главы округа представляется в Думу в </w:t>
      </w:r>
      <w:r>
        <w:rPr>
          <w:rFonts w:ascii="Times New Roman" w:hAnsi="Times New Roman" w:cs="Times New Roman"/>
          <w:sz w:val="28"/>
          <w:szCs w:val="28"/>
        </w:rPr>
        <w:t>форме письменного</w:t>
      </w:r>
      <w:r w:rsidRPr="00A64C1F">
        <w:rPr>
          <w:rFonts w:ascii="Times New Roman" w:hAnsi="Times New Roman" w:cs="Times New Roman"/>
          <w:sz w:val="28"/>
          <w:szCs w:val="28"/>
        </w:rPr>
        <w:t xml:space="preserve"> доклада, содержащего следующ</w:t>
      </w:r>
      <w:r>
        <w:rPr>
          <w:rFonts w:ascii="Times New Roman" w:hAnsi="Times New Roman" w:cs="Times New Roman"/>
          <w:sz w:val="28"/>
          <w:szCs w:val="28"/>
        </w:rPr>
        <w:t>ие сведения</w:t>
      </w:r>
      <w:r w:rsidRPr="00A64C1F">
        <w:rPr>
          <w:rFonts w:ascii="Times New Roman" w:hAnsi="Times New Roman" w:cs="Times New Roman"/>
          <w:sz w:val="28"/>
          <w:szCs w:val="28"/>
        </w:rPr>
        <w:t>:</w:t>
      </w:r>
    </w:p>
    <w:p w14:paraId="3006A6BA" w14:textId="77777777" w:rsidR="00FF0429" w:rsidRPr="00A64C1F" w:rsidRDefault="00FF0429" w:rsidP="00FF0429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2.1.1. об итогах социально-экономического развития Соликамского муниципального округа за отчетный период по направлениям:</w:t>
      </w:r>
    </w:p>
    <w:p w14:paraId="0A3709BC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а) состояние промышленного комплекса;</w:t>
      </w:r>
    </w:p>
    <w:p w14:paraId="7C7D34CE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б) инвестиционная политика;</w:t>
      </w:r>
    </w:p>
    <w:p w14:paraId="6A5FB5EC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в) муниципальные финансы;</w:t>
      </w:r>
    </w:p>
    <w:p w14:paraId="74D31EEF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г) развитие потребительского рынка;</w:t>
      </w:r>
    </w:p>
    <w:p w14:paraId="6256AEDC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д) развитие малого и среднего предпринимательства;</w:t>
      </w:r>
    </w:p>
    <w:p w14:paraId="327F0776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lastRenderedPageBreak/>
        <w:t>е) заработная плата и доходы населения;</w:t>
      </w:r>
    </w:p>
    <w:p w14:paraId="4E4E1607" w14:textId="77777777" w:rsidR="00FF0429" w:rsidRPr="00A64C1F" w:rsidRDefault="00FF0429" w:rsidP="00FF0429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ж) демографическая ситуация, рынок труда и занятость населения;</w:t>
      </w:r>
    </w:p>
    <w:p w14:paraId="24AFF46B" w14:textId="77777777" w:rsidR="00FF0429" w:rsidRPr="00A64C1F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2.1.2. о результатах деятельности Главы округа 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4C1F">
        <w:rPr>
          <w:rFonts w:ascii="Times New Roman" w:hAnsi="Times New Roman" w:cs="Times New Roman"/>
          <w:sz w:val="28"/>
          <w:szCs w:val="28"/>
        </w:rPr>
        <w:t>дминистрации за отчетный период по решению вопросов непосредственного обеспечения жизнедеятельности населения (вопросов местного значения), установленных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64C1F">
        <w:rPr>
          <w:rFonts w:ascii="Times New Roman" w:hAnsi="Times New Roman" w:cs="Times New Roman"/>
          <w:sz w:val="28"/>
          <w:szCs w:val="28"/>
        </w:rPr>
        <w:t xml:space="preserve"> законами,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7551FD" wp14:editId="4BD74368">
            <wp:extent cx="7620" cy="7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 xml:space="preserve"> законами Пермского края, Уставом Соликамского муниципального округа, по исполнению отдельных государственных полномочий, переданных органам местного самоуправления Соликамского муниципального округа федеральными законами и законами Пермского края;</w:t>
      </w:r>
    </w:p>
    <w:p w14:paraId="0D40799A" w14:textId="77777777" w:rsidR="00FF0429" w:rsidRPr="00A64C1F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2.1.3. о результатах деятельности Главы округа и Администрации за отчетный период по исполнению нормативных правовых актов Думы и решении вопросов, поставленных Думой в отчетном периоде;</w:t>
      </w:r>
    </w:p>
    <w:p w14:paraId="7D85BC6B" w14:textId="77777777" w:rsidR="00FF0429" w:rsidRPr="00A64C1F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2.1.4. перечень показателей и достигнутых значений показателей, применяемых при оценке деятельности Главы округа за отчетный период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4C1F">
        <w:rPr>
          <w:rFonts w:ascii="Times New Roman" w:hAnsi="Times New Roman" w:cs="Times New Roman"/>
          <w:sz w:val="28"/>
          <w:szCs w:val="28"/>
        </w:rPr>
        <w:t>риложению к настоящему Порядку;</w:t>
      </w:r>
    </w:p>
    <w:p w14:paraId="0E9A4CE9" w14:textId="77777777" w:rsidR="00FF0429" w:rsidRPr="00A64C1F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2.1.5. приоритеты в работе Главы округа и Администрации, задачи на текущий год и перспективы их решения.</w:t>
      </w:r>
    </w:p>
    <w:p w14:paraId="508539D2" w14:textId="77777777" w:rsidR="00FF0429" w:rsidRPr="00A64C1F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2.2.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>Под вопросами, поставленными Думой в отчетном периоде, понимаются оформленные в виде решения Думы поручения или рекомендации о решении вопросов местного значения Соликамского муниципального округа и (или) депутатские запросы Думы, направленные Главе округа и (или) Администрации в соответствии с их полномочиями.</w:t>
      </w:r>
    </w:p>
    <w:p w14:paraId="22080974" w14:textId="77777777" w:rsidR="00FF0429" w:rsidRPr="002821BD" w:rsidRDefault="00FF0429" w:rsidP="00FF0429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2.3. Отчет Главы округа должен содержать информацию о мероприятиях, предпринятых Главой округа и (или) Администрацией для решения </w:t>
      </w:r>
      <w:r w:rsidRPr="002821BD">
        <w:rPr>
          <w:rFonts w:ascii="Times New Roman" w:hAnsi="Times New Roman" w:cs="Times New Roman"/>
          <w:sz w:val="28"/>
          <w:szCs w:val="28"/>
        </w:rPr>
        <w:t>поставленных Думой вопросов, а также о достигнутых результатах при осуществлении данных мероприятий.</w:t>
      </w:r>
    </w:p>
    <w:p w14:paraId="295F6AA7" w14:textId="77777777" w:rsidR="00FF0429" w:rsidRDefault="00FF0429" w:rsidP="00FF0429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8B5565" w14:textId="77777777" w:rsidR="00FF0429" w:rsidRDefault="00FF0429" w:rsidP="00FF0429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III. Порядок представления Отчета Главы округа в Думу</w:t>
      </w:r>
    </w:p>
    <w:p w14:paraId="1857DD88" w14:textId="77777777" w:rsidR="00FF0429" w:rsidRPr="00A64C1F" w:rsidRDefault="00FF0429" w:rsidP="00FF0429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DA7C13" w14:textId="77777777" w:rsidR="00FF0429" w:rsidRPr="00A64C1F" w:rsidRDefault="00FF0429" w:rsidP="00FF0429">
      <w:pPr>
        <w:spacing w:after="0" w:line="320" w:lineRule="exact"/>
        <w:ind w:left="24" w:right="9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3.1. Отчет Главы округа представляется в Думу не позднее 1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 xml:space="preserve">июня года, следующего за отчетным календарным годом, с соблюдением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требований</w:t>
      </w:r>
      <w:r w:rsidRPr="00A64C1F">
        <w:rPr>
          <w:rFonts w:ascii="Times New Roman" w:hAnsi="Times New Roman" w:cs="Times New Roman"/>
          <w:sz w:val="28"/>
          <w:szCs w:val="28"/>
        </w:rPr>
        <w:t xml:space="preserve"> к структуре и содержанию, установленных настоящим Порядком.</w:t>
      </w:r>
    </w:p>
    <w:p w14:paraId="41D6E4A8" w14:textId="77777777" w:rsidR="00FF0429" w:rsidRPr="00EE606D" w:rsidRDefault="00FF0429" w:rsidP="00FF0429">
      <w:pPr>
        <w:spacing w:after="0" w:line="320" w:lineRule="exact"/>
        <w:ind w:left="10" w:right="10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3.2. Отчет Главы округа </w:t>
      </w:r>
      <w:r w:rsidRPr="00EE606D">
        <w:rPr>
          <w:rFonts w:ascii="Times New Roman" w:hAnsi="Times New Roman" w:cs="Times New Roman"/>
          <w:sz w:val="28"/>
          <w:szCs w:val="28"/>
        </w:rPr>
        <w:t>подписывается Главой округа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64C1F">
        <w:rPr>
          <w:rFonts w:ascii="Times New Roman" w:hAnsi="Times New Roman" w:cs="Times New Roman"/>
          <w:sz w:val="28"/>
          <w:szCs w:val="28"/>
        </w:rPr>
        <w:t>представляется на бумажном и электронном носителя</w:t>
      </w:r>
      <w:r>
        <w:rPr>
          <w:rFonts w:ascii="Times New Roman" w:hAnsi="Times New Roman" w:cs="Times New Roman"/>
          <w:sz w:val="28"/>
          <w:szCs w:val="28"/>
        </w:rPr>
        <w:t xml:space="preserve">х с указанием информации о дате, времени и месте публичного </w:t>
      </w:r>
      <w:r w:rsidRPr="00EE606D">
        <w:rPr>
          <w:rFonts w:ascii="Times New Roman" w:hAnsi="Times New Roman" w:cs="Times New Roman"/>
          <w:sz w:val="28"/>
          <w:szCs w:val="28"/>
        </w:rPr>
        <w:t>заслушивания Отчета Главы округа в соответствии с пунктом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606D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6C0ECF54" w14:textId="77777777" w:rsidR="00FF0429" w:rsidRDefault="00FF0429" w:rsidP="00FF0429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3.3. Датой представления Отчета Главы округа считается дата его регистрации в Дум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4C1F">
        <w:rPr>
          <w:rFonts w:ascii="Times New Roman" w:hAnsi="Times New Roman" w:cs="Times New Roman"/>
          <w:sz w:val="28"/>
          <w:szCs w:val="28"/>
        </w:rPr>
        <w:t>.</w:t>
      </w:r>
    </w:p>
    <w:p w14:paraId="0F34C29A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3.4. В случае непредставления отчёта в установленный пунктом 3.1 настоящего Порядка срок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1686">
        <w:rPr>
          <w:rFonts w:ascii="Times New Roman" w:hAnsi="Times New Roman" w:cs="Times New Roman"/>
          <w:sz w:val="28"/>
          <w:szCs w:val="28"/>
        </w:rPr>
        <w:t xml:space="preserve"> Дума вправе на очередном заседании принять решение о неудовлетворительной оценке деятельности Главы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C1686">
        <w:rPr>
          <w:rFonts w:ascii="Times New Roman" w:hAnsi="Times New Roman" w:cs="Times New Roman"/>
          <w:sz w:val="28"/>
          <w:szCs w:val="28"/>
        </w:rPr>
        <w:t>.</w:t>
      </w:r>
    </w:p>
    <w:p w14:paraId="761A55CC" w14:textId="77777777" w:rsidR="00FF0429" w:rsidRDefault="00FF0429" w:rsidP="00FF0429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588AB" w14:textId="77777777" w:rsidR="00356330" w:rsidRDefault="00356330" w:rsidP="00FF0429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9F505" w14:textId="77777777" w:rsidR="00356330" w:rsidRDefault="00356330" w:rsidP="00FF0429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7B5AC" w14:textId="77777777" w:rsidR="00356330" w:rsidRDefault="00356330" w:rsidP="00FF0429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EBD9AE" w14:textId="2609AA51" w:rsidR="00FF0429" w:rsidRPr="00A64C1F" w:rsidRDefault="00FF0429" w:rsidP="00FF0429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Порядок заслушивания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рассмотрения </w:t>
      </w:r>
    </w:p>
    <w:p w14:paraId="070AB3E4" w14:textId="77777777" w:rsidR="00FF0429" w:rsidRDefault="00FF0429" w:rsidP="00FF0429">
      <w:pPr>
        <w:spacing w:after="0" w:line="320" w:lineRule="exact"/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Отчета Главы округа</w:t>
      </w:r>
      <w:r w:rsidRPr="00A64C1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41C739" wp14:editId="22849267">
            <wp:extent cx="7620" cy="76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3F6D6" w14:textId="77777777" w:rsidR="00FF0429" w:rsidRPr="00A64C1F" w:rsidRDefault="00FF0429" w:rsidP="00FF0429">
      <w:pPr>
        <w:spacing w:after="0" w:line="320" w:lineRule="exact"/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4154BE" w14:textId="77777777" w:rsidR="00FF0429" w:rsidRPr="00D04346" w:rsidRDefault="00FF0429" w:rsidP="00FF0429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Отч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Главы округа заслушивается публично в открытой форме путём выступления перед жителями округа и депутатами Думы (далее - публичное заслушивание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рассматривается Думой на заседаниях постоянных депутатских комиссий и Думы не позднее 1 июля года, следующего за отчетным календарным годом.</w:t>
      </w:r>
    </w:p>
    <w:p w14:paraId="7E5CF787" w14:textId="77777777" w:rsidR="00FF0429" w:rsidRPr="00D04346" w:rsidRDefault="00FF0429" w:rsidP="00FF0429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 публичное заслушивание отчета могут приглашаться депутаты Законодательного Собрания Пермского края, представители губернатора Пермского края, представители Правительства Пермского края, руководители предприятий, организаций и учреждений, а также представители общественных организаций, средств массовой информации и иные лица.</w:t>
      </w:r>
    </w:p>
    <w:p w14:paraId="4F90F5A5" w14:textId="77777777" w:rsidR="00FF0429" w:rsidRPr="00BF7E57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E5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7E57">
        <w:rPr>
          <w:rFonts w:ascii="Times New Roman" w:hAnsi="Times New Roman" w:cs="Times New Roman"/>
          <w:sz w:val="28"/>
          <w:szCs w:val="28"/>
        </w:rPr>
        <w:t>. П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убличное заслушивание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отчета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организует Администрация. Если помещение, предоставленное для проведения публичного заслушивания отчета, не вмещает всех желающих, Администрация обязана обеспечить трансляцию </w:t>
      </w:r>
      <w:r w:rsidRPr="00BF7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заслушивания отчета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на официальном сайте А</w:t>
      </w:r>
      <w:r w:rsidRPr="00BF7E57">
        <w:rPr>
          <w:rFonts w:ascii="Times New Roman" w:hAnsi="Times New Roman" w:cs="Times New Roman"/>
          <w:sz w:val="28"/>
          <w:szCs w:val="28"/>
        </w:rPr>
        <w:t>дминистрации в информационно-телекоммуникационной сети «Интернет».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</w:p>
    <w:p w14:paraId="072CA1AC" w14:textId="77777777" w:rsidR="00FF0429" w:rsidRPr="00F44D9B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4D9B">
        <w:rPr>
          <w:rFonts w:ascii="Times New Roman" w:hAnsi="Times New Roman" w:cs="Times New Roman"/>
          <w:sz w:val="28"/>
          <w:szCs w:val="28"/>
        </w:rPr>
        <w:t>. Публичное заслушивание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4D9B">
        <w:rPr>
          <w:rFonts w:ascii="Times New Roman" w:hAnsi="Times New Roman" w:cs="Times New Roman"/>
          <w:sz w:val="28"/>
          <w:szCs w:val="28"/>
        </w:rPr>
        <w:t>та должно быть организовано в срок после официального внесения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4D9B">
        <w:rPr>
          <w:rFonts w:ascii="Times New Roman" w:hAnsi="Times New Roman" w:cs="Times New Roman"/>
          <w:sz w:val="28"/>
          <w:szCs w:val="28"/>
        </w:rPr>
        <w:t xml:space="preserve">та в Думу и </w:t>
      </w:r>
      <w:r w:rsidRPr="00F44D9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до начала рассмотрения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F44D9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на заседаниях постоянных депутатских комиссий Думы</w:t>
      </w:r>
      <w:r w:rsidRPr="00F44D9B">
        <w:rPr>
          <w:rFonts w:ascii="Times New Roman" w:hAnsi="Times New Roman" w:cs="Times New Roman"/>
          <w:sz w:val="28"/>
          <w:szCs w:val="28"/>
        </w:rPr>
        <w:t>.</w:t>
      </w:r>
    </w:p>
    <w:p w14:paraId="5642F815" w14:textId="77777777" w:rsidR="00FF0429" w:rsidRPr="007255B4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7255B4">
        <w:rPr>
          <w:sz w:val="28"/>
          <w:szCs w:val="28"/>
        </w:rPr>
        <w:t>4</w:t>
      </w:r>
      <w:r>
        <w:rPr>
          <w:sz w:val="28"/>
          <w:szCs w:val="28"/>
        </w:rPr>
        <w:t>.5</w:t>
      </w:r>
      <w:r w:rsidRPr="007255B4">
        <w:rPr>
          <w:sz w:val="28"/>
          <w:szCs w:val="28"/>
        </w:rPr>
        <w:t>. Отчёт представляется исключительно Главой округа.</w:t>
      </w:r>
    </w:p>
    <w:p w14:paraId="62342B19" w14:textId="77777777" w:rsidR="00FF0429" w:rsidRPr="00B6325A" w:rsidRDefault="00FF0429" w:rsidP="00FF0429">
      <w:pPr>
        <w:shd w:val="clear" w:color="auto" w:fill="FFFFFF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случае временного отсутствия 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Главы округа Дума вправе перенести публичное заслушивание отч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е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та и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(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)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его рассмотрение на срок до одного месяца на основании письменного обращения Главы округа или </w:t>
      </w:r>
      <w:r w:rsidRPr="007255B4">
        <w:rPr>
          <w:rFonts w:ascii="Times New Roman" w:hAnsi="Times New Roman" w:cs="Times New Roman"/>
          <w:sz w:val="28"/>
          <w:szCs w:val="28"/>
        </w:rPr>
        <w:t>лица, исполняющего его полномочия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 В обращении указываются: причина отсутствия</w:t>
      </w:r>
      <w:r w:rsidRPr="00D902EA">
        <w:rPr>
          <w:rFonts w:ascii="Times New Roman" w:hAnsi="Times New Roman" w:cs="Times New Roman"/>
          <w:sz w:val="28"/>
          <w:szCs w:val="28"/>
        </w:rPr>
        <w:t xml:space="preserve"> Главы округа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дата </w:t>
      </w:r>
      <w:r w:rsidRPr="00D902EA">
        <w:rPr>
          <w:rFonts w:ascii="Times New Roman" w:hAnsi="Times New Roman" w:cs="Times New Roman"/>
          <w:sz w:val="28"/>
          <w:szCs w:val="28"/>
        </w:rPr>
        <w:t>возобновления исполнения полномочий</w:t>
      </w:r>
      <w:r w:rsidRPr="00D902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и предлагаемая новая дата </w:t>
      </w:r>
      <w:r w:rsidRPr="00D902EA">
        <w:rPr>
          <w:rFonts w:ascii="Times New Roman" w:hAnsi="Times New Roman" w:cs="Times New Roman"/>
          <w:sz w:val="28"/>
          <w:szCs w:val="28"/>
        </w:rPr>
        <w:t>публичного заслушивания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02EA">
        <w:rPr>
          <w:rFonts w:ascii="Times New Roman" w:hAnsi="Times New Roman" w:cs="Times New Roman"/>
          <w:sz w:val="28"/>
          <w:szCs w:val="28"/>
        </w:rPr>
        <w:t>та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</w:t>
      </w:r>
      <w:r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рок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переноса</w:t>
      </w:r>
      <w:r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заслушивания и (или) </w:t>
      </w:r>
      <w:r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рассмотрения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исчисляется от даты запланированного заседания Думы по рассмотрению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</w:t>
      </w:r>
      <w:r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</w:p>
    <w:p w14:paraId="06664663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AC1686">
        <w:rPr>
          <w:rFonts w:ascii="Times New Roman" w:hAnsi="Times New Roman" w:cs="Times New Roman"/>
          <w:sz w:val="28"/>
          <w:szCs w:val="28"/>
        </w:rPr>
        <w:t xml:space="preserve">На публичном заслушивании </w:t>
      </w:r>
      <w:r>
        <w:rPr>
          <w:rFonts w:ascii="Times New Roman" w:hAnsi="Times New Roman" w:cs="Times New Roman"/>
          <w:sz w:val="28"/>
          <w:szCs w:val="28"/>
        </w:rPr>
        <w:t>отчета Глава</w:t>
      </w:r>
      <w:r w:rsidRPr="00AC1686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представляет</w:t>
      </w:r>
      <w:r w:rsidRPr="00AC1686">
        <w:rPr>
          <w:rFonts w:ascii="Times New Roman" w:hAnsi="Times New Roman" w:cs="Times New Roman"/>
          <w:sz w:val="28"/>
          <w:szCs w:val="28"/>
        </w:rPr>
        <w:t xml:space="preserve"> доклад</w:t>
      </w:r>
      <w:r>
        <w:rPr>
          <w:rFonts w:ascii="Times New Roman" w:hAnsi="Times New Roman" w:cs="Times New Roman"/>
          <w:sz w:val="28"/>
          <w:szCs w:val="28"/>
        </w:rPr>
        <w:t>, который включает</w:t>
      </w:r>
      <w:r w:rsidRPr="00AC1686">
        <w:rPr>
          <w:rFonts w:ascii="Times New Roman" w:hAnsi="Times New Roman" w:cs="Times New Roman"/>
          <w:sz w:val="28"/>
          <w:szCs w:val="28"/>
        </w:rPr>
        <w:t>:</w:t>
      </w:r>
    </w:p>
    <w:p w14:paraId="1CA6F173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</w:t>
      </w:r>
      <w:r w:rsidRPr="00AC1686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Pr="00AC1686">
        <w:rPr>
          <w:rFonts w:ascii="Times New Roman" w:hAnsi="Times New Roman" w:cs="Times New Roman"/>
          <w:sz w:val="28"/>
          <w:szCs w:val="28"/>
        </w:rPr>
        <w:noBreakHyphen/>
        <w:t>экономического развития округа за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тный период;</w:t>
      </w:r>
    </w:p>
    <w:p w14:paraId="4B898611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Pr="00AC1686">
        <w:rPr>
          <w:rFonts w:ascii="Times New Roman" w:hAnsi="Times New Roman" w:cs="Times New Roman"/>
          <w:sz w:val="28"/>
          <w:szCs w:val="28"/>
        </w:rPr>
        <w:t xml:space="preserve"> деятельности Главы округа и Администрации за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тный период по решению вопросов непосредственного обеспечения жизнедеятельности населения (вопросов местного значения),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686">
        <w:rPr>
          <w:rFonts w:ascii="Times New Roman" w:hAnsi="Times New Roman" w:cs="Times New Roman"/>
          <w:sz w:val="28"/>
          <w:szCs w:val="28"/>
        </w:rPr>
        <w:t>федеральными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законами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Уставом Соликамского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по исполнению отдельных государственных полномочий, переданных органам местного самоуправления Соликамского муниципального округа федеральными законами и законами Пермского края;</w:t>
      </w:r>
    </w:p>
    <w:p w14:paraId="75E92A57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Pr="00AC1686">
        <w:rPr>
          <w:rFonts w:ascii="Times New Roman" w:hAnsi="Times New Roman" w:cs="Times New Roman"/>
          <w:sz w:val="28"/>
          <w:szCs w:val="28"/>
        </w:rPr>
        <w:t xml:space="preserve"> планируемы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1686">
        <w:rPr>
          <w:rFonts w:ascii="Times New Roman" w:hAnsi="Times New Roman" w:cs="Times New Roman"/>
          <w:sz w:val="28"/>
          <w:szCs w:val="28"/>
        </w:rPr>
        <w:t xml:space="preserve"> развития округа на текущий год и плановый период.</w:t>
      </w:r>
    </w:p>
    <w:p w14:paraId="0D0A4897" w14:textId="77777777" w:rsidR="00FF0429" w:rsidRPr="00AC1686" w:rsidRDefault="00FF0429" w:rsidP="00FF0429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1686">
        <w:rPr>
          <w:rFonts w:ascii="Times New Roman" w:hAnsi="Times New Roman" w:cs="Times New Roman"/>
          <w:sz w:val="28"/>
          <w:szCs w:val="28"/>
        </w:rPr>
        <w:t xml:space="preserve">. </w:t>
      </w:r>
      <w:r w:rsidRPr="000513B7">
        <w:rPr>
          <w:rFonts w:ascii="Times New Roman" w:hAnsi="Times New Roman" w:cs="Times New Roman"/>
          <w:sz w:val="28"/>
          <w:szCs w:val="28"/>
        </w:rPr>
        <w:t>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13B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Главы округа</w:t>
      </w:r>
      <w:r w:rsidRPr="000513B7">
        <w:rPr>
          <w:rFonts w:ascii="Times New Roman" w:hAnsi="Times New Roman" w:cs="Times New Roman"/>
          <w:sz w:val="28"/>
          <w:szCs w:val="28"/>
        </w:rPr>
        <w:t xml:space="preserve">, поступивший в Думу, подлежит направлению председателем Думы всем депутатам и в постоянные депутатские комиссии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Pr="000513B7">
        <w:rPr>
          <w:rFonts w:ascii="Times New Roman" w:hAnsi="Times New Roman" w:cs="Times New Roman"/>
          <w:sz w:val="28"/>
          <w:szCs w:val="28"/>
        </w:rPr>
        <w:t>не позднее 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13B7">
        <w:rPr>
          <w:rFonts w:ascii="Times New Roman" w:hAnsi="Times New Roman" w:cs="Times New Roman"/>
          <w:sz w:val="28"/>
          <w:szCs w:val="28"/>
        </w:rPr>
        <w:t xml:space="preserve">х рабочих дней со дня его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Pr="00AC1686">
        <w:rPr>
          <w:rFonts w:ascii="Times New Roman" w:hAnsi="Times New Roman" w:cs="Times New Roman"/>
          <w:sz w:val="28"/>
          <w:szCs w:val="28"/>
        </w:rPr>
        <w:t xml:space="preserve"> </w:t>
      </w:r>
      <w:r w:rsidRPr="000A7457">
        <w:rPr>
          <w:rFonts w:ascii="Times New Roman" w:hAnsi="Times New Roman" w:cs="Times New Roman"/>
          <w:sz w:val="28"/>
          <w:szCs w:val="28"/>
        </w:rPr>
        <w:t xml:space="preserve">для </w:t>
      </w:r>
      <w:r w:rsidRPr="000A7457">
        <w:rPr>
          <w:rFonts w:ascii="Times New Roman" w:hAnsi="Times New Roman" w:cs="Times New Roman"/>
          <w:sz w:val="28"/>
          <w:szCs w:val="28"/>
        </w:rPr>
        <w:lastRenderedPageBreak/>
        <w:t>предварительного изучения и обсуждения, выработки предложений и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686">
        <w:rPr>
          <w:rFonts w:ascii="Times New Roman" w:hAnsi="Times New Roman" w:cs="Times New Roman"/>
          <w:sz w:val="28"/>
          <w:szCs w:val="28"/>
        </w:rPr>
        <w:t>для подготовки проекта решения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5D8">
        <w:rPr>
          <w:rFonts w:ascii="Times New Roman" w:hAnsi="Times New Roman" w:cs="Times New Roman"/>
          <w:sz w:val="28"/>
          <w:szCs w:val="28"/>
        </w:rPr>
        <w:t>об утверждении Отчета Главы округа и оценке деятельности Главы округа за 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формирования перечня вопросов к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ту Главы округа.</w:t>
      </w:r>
    </w:p>
    <w:p w14:paraId="5E8F7B6E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AC1686">
        <w:rPr>
          <w:rFonts w:ascii="Times New Roman" w:hAnsi="Times New Roman" w:cs="Times New Roman"/>
          <w:sz w:val="28"/>
          <w:szCs w:val="28"/>
        </w:rPr>
        <w:t xml:space="preserve"> Рассмотрение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 xml:space="preserve">та постоянными депутатскими комиссиями Думы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C1686">
        <w:rPr>
          <w:rFonts w:ascii="Times New Roman" w:hAnsi="Times New Roman" w:cs="Times New Roman"/>
          <w:sz w:val="28"/>
          <w:szCs w:val="28"/>
        </w:rPr>
        <w:t>егламентом Думы.</w:t>
      </w:r>
    </w:p>
    <w:p w14:paraId="417F1C1A" w14:textId="77777777" w:rsidR="00FF0429" w:rsidRPr="000A7457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C1686">
        <w:rPr>
          <w:rFonts w:ascii="Times New Roman" w:hAnsi="Times New Roman" w:cs="Times New Roman"/>
          <w:sz w:val="28"/>
          <w:szCs w:val="28"/>
        </w:rPr>
        <w:t>. Вопросы к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 xml:space="preserve">ту Главы </w:t>
      </w:r>
      <w:r w:rsidRPr="000A7457">
        <w:rPr>
          <w:rFonts w:ascii="Times New Roman" w:hAnsi="Times New Roman" w:cs="Times New Roman"/>
          <w:sz w:val="28"/>
          <w:szCs w:val="28"/>
        </w:rPr>
        <w:t>округа направляются постоянны</w:t>
      </w:r>
      <w:r>
        <w:rPr>
          <w:rFonts w:ascii="Times New Roman" w:hAnsi="Times New Roman" w:cs="Times New Roman"/>
          <w:sz w:val="28"/>
          <w:szCs w:val="28"/>
        </w:rPr>
        <w:t>ми депутатскими комиссиями Думы и</w:t>
      </w:r>
      <w:r w:rsidRPr="000A7457">
        <w:rPr>
          <w:rFonts w:ascii="Times New Roman" w:hAnsi="Times New Roman" w:cs="Times New Roman"/>
          <w:sz w:val="28"/>
          <w:szCs w:val="28"/>
        </w:rPr>
        <w:t xml:space="preserve"> депутатами Думы. </w:t>
      </w:r>
      <w:r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Вопросы должны касаться содержания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и деятельности Главы округа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, Администрации</w:t>
      </w:r>
      <w:r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за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тный период.</w:t>
      </w:r>
    </w:p>
    <w:p w14:paraId="4465F5ED" w14:textId="77777777" w:rsidR="00FF0429" w:rsidRPr="0013577A" w:rsidRDefault="00FF0429" w:rsidP="00FF0429">
      <w:pPr>
        <w:shd w:val="clear" w:color="auto" w:fill="FFFFFF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4.10. Предложения, рекомендации и вопросы, указанные в пунктах 4.7 и 4.9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настоящего Порядка, направляются в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остоянную депутатскую комиссию по местному самоуправлению, регламенту и депутатской этике Думы (далее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-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Комиссия) в срок, определяемый решением Комиссии.</w:t>
      </w:r>
    </w:p>
    <w:p w14:paraId="16984ED4" w14:textId="77777777" w:rsidR="00FF0429" w:rsidRPr="0013577A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C1686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168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бобщает поступившие предложения и </w:t>
      </w:r>
      <w:r w:rsidRPr="00AC1686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формирует перечень вопросов к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ту Главы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 xml:space="preserve">подготавливает проект </w:t>
      </w:r>
      <w:r w:rsidRPr="0013577A">
        <w:rPr>
          <w:rFonts w:ascii="Times New Roman" w:hAnsi="Times New Roman" w:cs="Times New Roman"/>
          <w:sz w:val="28"/>
          <w:szCs w:val="28"/>
        </w:rPr>
        <w:t>решения Думы об утверждении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577A">
        <w:rPr>
          <w:rFonts w:ascii="Times New Roman" w:hAnsi="Times New Roman" w:cs="Times New Roman"/>
          <w:sz w:val="28"/>
          <w:szCs w:val="28"/>
        </w:rPr>
        <w:t>та Главы округа и оценке деятельности Главы округа за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577A">
        <w:rPr>
          <w:rFonts w:ascii="Times New Roman" w:hAnsi="Times New Roman" w:cs="Times New Roman"/>
          <w:sz w:val="28"/>
          <w:szCs w:val="28"/>
        </w:rPr>
        <w:t>тный период.</w:t>
      </w:r>
    </w:p>
    <w:p w14:paraId="6C14EAA9" w14:textId="77777777" w:rsidR="00FF0429" w:rsidRPr="0013577A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Сформированный пакет документов направляется председателем Комиссии председателю Думы не позднее чем за 6 рабочих дней до заседания Думы, на котором рассматривается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т.</w:t>
      </w:r>
    </w:p>
    <w:p w14:paraId="797B58D1" w14:textId="77777777" w:rsidR="00FF0429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A">
        <w:rPr>
          <w:rFonts w:ascii="Times New Roman" w:hAnsi="Times New Roman" w:cs="Times New Roman"/>
          <w:sz w:val="28"/>
          <w:szCs w:val="28"/>
        </w:rPr>
        <w:t xml:space="preserve">4.11. Председатель Думы </w:t>
      </w:r>
      <w:r w:rsidRPr="00356330">
        <w:rPr>
          <w:rStyle w:val="ad"/>
          <w:rFonts w:ascii="Times New Roman" w:hAnsi="Times New Roman" w:cs="Times New Roman"/>
          <w:b w:val="0"/>
          <w:bCs w:val="0"/>
          <w:spacing w:val="3"/>
          <w:sz w:val="28"/>
          <w:szCs w:val="28"/>
          <w:shd w:val="clear" w:color="auto" w:fill="FFFFFF"/>
        </w:rPr>
        <w:t>не позднее чем за 5 рабочих дней</w:t>
      </w:r>
      <w:r w:rsidRPr="00356330">
        <w:rPr>
          <w:rFonts w:ascii="Times New Roman" w:hAnsi="Times New Roman" w:cs="Times New Roman"/>
          <w:b/>
          <w:bCs/>
          <w:spacing w:val="3"/>
          <w:sz w:val="28"/>
          <w:szCs w:val="28"/>
          <w:shd w:val="clear" w:color="auto" w:fill="FFFFFF"/>
        </w:rPr>
        <w:t> до</w:t>
      </w:r>
      <w:r w:rsidRPr="007D67A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рассмотрения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7D67A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на заседа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нии Думы </w:t>
      </w:r>
      <w:r w:rsidRPr="0013577A">
        <w:rPr>
          <w:rFonts w:ascii="Times New Roman" w:hAnsi="Times New Roman" w:cs="Times New Roman"/>
          <w:sz w:val="28"/>
          <w:szCs w:val="28"/>
        </w:rPr>
        <w:t xml:space="preserve">направляет Главе округа </w:t>
      </w:r>
      <w:r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документы, полученные от Комиссии в соответствии с пунктом 4.10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0B3AD9" w14:textId="77777777" w:rsidR="00FF0429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Pr="00AC1686">
        <w:rPr>
          <w:rFonts w:ascii="Times New Roman" w:hAnsi="Times New Roman" w:cs="Times New Roman"/>
          <w:sz w:val="28"/>
          <w:szCs w:val="28"/>
        </w:rPr>
        <w:t>. Рассмотрение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та Главы округа на заседании Думы включает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5DD401F" w14:textId="77777777" w:rsidR="00FF0429" w:rsidRPr="000679ED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6A">
        <w:rPr>
          <w:rFonts w:ascii="Times New Roman" w:hAnsi="Times New Roman" w:cs="Times New Roman"/>
          <w:sz w:val="28"/>
          <w:szCs w:val="28"/>
        </w:rPr>
        <w:t>выступление Главы округа с учетом ответов на вопросы к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766A">
        <w:rPr>
          <w:rFonts w:ascii="Times New Roman" w:hAnsi="Times New Roman" w:cs="Times New Roman"/>
          <w:sz w:val="28"/>
          <w:szCs w:val="28"/>
        </w:rPr>
        <w:t xml:space="preserve">ту </w:t>
      </w:r>
      <w:r w:rsidRPr="000679ED">
        <w:rPr>
          <w:rFonts w:ascii="Times New Roman" w:hAnsi="Times New Roman" w:cs="Times New Roman"/>
          <w:sz w:val="28"/>
          <w:szCs w:val="28"/>
        </w:rPr>
        <w:t>Главы округа, направленные в соответствии с пунктами 4.9 - 4.11 настоящего Порядка.</w:t>
      </w:r>
      <w:r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Продолжительность выступления </w:t>
      </w:r>
      <w:r w:rsidRPr="00AC1686">
        <w:rPr>
          <w:rFonts w:ascii="Times New Roman" w:hAnsi="Times New Roman" w:cs="Times New Roman"/>
          <w:sz w:val="28"/>
          <w:szCs w:val="28"/>
        </w:rPr>
        <w:t xml:space="preserve">должна составлять </w:t>
      </w:r>
      <w:r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не более 1 часа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;</w:t>
      </w:r>
    </w:p>
    <w:p w14:paraId="33F19BF6" w14:textId="77777777" w:rsidR="00FF0429" w:rsidRPr="000679ED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ED">
        <w:rPr>
          <w:rFonts w:ascii="Times New Roman" w:hAnsi="Times New Roman" w:cs="Times New Roman"/>
          <w:sz w:val="28"/>
          <w:szCs w:val="28"/>
        </w:rPr>
        <w:t xml:space="preserve">доклад </w:t>
      </w:r>
      <w:r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председателя Комиссии о результатах предварительного рассмотрения отчёта постоянными депутатскими комиссиями Думы</w:t>
      </w:r>
      <w:r w:rsidRPr="000679ED">
        <w:rPr>
          <w:rFonts w:ascii="Times New Roman" w:hAnsi="Times New Roman" w:cs="Times New Roman"/>
          <w:sz w:val="28"/>
          <w:szCs w:val="28"/>
        </w:rPr>
        <w:t>;</w:t>
      </w:r>
    </w:p>
    <w:p w14:paraId="56F8F6C5" w14:textId="77777777" w:rsidR="00FF0429" w:rsidRPr="00FA1815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FA181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обсуждение отчёта депутатами Думы;</w:t>
      </w:r>
    </w:p>
    <w:p w14:paraId="281FCB92" w14:textId="77777777" w:rsidR="00FF0429" w:rsidRPr="00FA1815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z w:val="28"/>
          <w:szCs w:val="28"/>
        </w:rPr>
        <w:t>принятие Думой решения об утверждении Отчёта Главы округа и оценке деятельности Главы округа за отчётный период.</w:t>
      </w:r>
    </w:p>
    <w:p w14:paraId="66D15802" w14:textId="77777777" w:rsidR="00FF0429" w:rsidRPr="00FA181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FA1815">
        <w:rPr>
          <w:sz w:val="28"/>
          <w:szCs w:val="28"/>
        </w:rPr>
        <w:t xml:space="preserve">4.13. </w:t>
      </w:r>
      <w:r w:rsidRPr="00FA1815">
        <w:rPr>
          <w:spacing w:val="3"/>
          <w:sz w:val="28"/>
          <w:szCs w:val="28"/>
        </w:rPr>
        <w:t>Порядок обсуждения отчёта:</w:t>
      </w:r>
    </w:p>
    <w:p w14:paraId="082A38DF" w14:textId="77777777" w:rsidR="00FF0429" w:rsidRPr="00FA181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4.13.1. </w:t>
      </w:r>
      <w:r w:rsidRPr="00FA1815">
        <w:rPr>
          <w:spacing w:val="3"/>
          <w:sz w:val="28"/>
          <w:szCs w:val="28"/>
        </w:rPr>
        <w:t>После выступления Главы округа депутатам, заявившим о желании выступить, предоставляется слово с разрешения председателя Думы.</w:t>
      </w:r>
    </w:p>
    <w:p w14:paraId="56D464F4" w14:textId="77777777" w:rsidR="00FF0429" w:rsidRPr="00FA1815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pacing w:val="3"/>
          <w:sz w:val="28"/>
          <w:szCs w:val="28"/>
        </w:rPr>
        <w:t xml:space="preserve">4.13.2. При большом количестве желающих выступить председатель Думы </w:t>
      </w:r>
      <w:r w:rsidRPr="00FA1815">
        <w:rPr>
          <w:rFonts w:ascii="Times New Roman" w:hAnsi="Times New Roman" w:cs="Times New Roman"/>
          <w:sz w:val="28"/>
          <w:szCs w:val="28"/>
        </w:rPr>
        <w:t>вправе ограничить время выступления.</w:t>
      </w:r>
    </w:p>
    <w:p w14:paraId="2D31C959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z w:val="28"/>
          <w:szCs w:val="28"/>
        </w:rPr>
        <w:t>4.14. По</w:t>
      </w:r>
      <w:r w:rsidRPr="00AC1686">
        <w:rPr>
          <w:rFonts w:ascii="Times New Roman" w:hAnsi="Times New Roman" w:cs="Times New Roman"/>
          <w:sz w:val="28"/>
          <w:szCs w:val="28"/>
        </w:rPr>
        <w:t xml:space="preserve"> результатам рассмотрения Отчёта Главы округа Думой принимается одно из следующих решений:</w:t>
      </w:r>
    </w:p>
    <w:p w14:paraId="6A06139A" w14:textId="77777777" w:rsidR="00FF0429" w:rsidRPr="00DA15C8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1686">
        <w:rPr>
          <w:rFonts w:ascii="Times New Roman" w:hAnsi="Times New Roman" w:cs="Times New Roman"/>
          <w:sz w:val="28"/>
          <w:szCs w:val="28"/>
        </w:rPr>
        <w:t xml:space="preserve">.1. Об утверждении Отчёта Главы округа о результатах его деятельности, деятельности Администрации, в том числе о решении вопросов, </w:t>
      </w:r>
      <w:r w:rsidRPr="00AC1686">
        <w:rPr>
          <w:rFonts w:ascii="Times New Roman" w:hAnsi="Times New Roman" w:cs="Times New Roman"/>
          <w:sz w:val="28"/>
          <w:szCs w:val="28"/>
        </w:rPr>
        <w:lastRenderedPageBreak/>
        <w:t>поставленных Думой, и оценке деятельности Главы округа за отчётный период как удовлетворительной. При этом в решении Думы могут указываться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 xml:space="preserve">рекомендации постоянных депутатских комиссий, </w:t>
      </w:r>
      <w:r w:rsidRPr="00DA15C8">
        <w:rPr>
          <w:rFonts w:ascii="Times New Roman" w:hAnsi="Times New Roman" w:cs="Times New Roman"/>
          <w:sz w:val="28"/>
          <w:szCs w:val="28"/>
        </w:rPr>
        <w:t xml:space="preserve">депутатов Думы по совершенствованию деятельности Главы округа и Администрации. </w:t>
      </w:r>
      <w:r w:rsidRPr="00DA15C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Предложения и рекомендации могут включать как общие указания, так и конкретные меры по улучшению работы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</w:p>
    <w:p w14:paraId="062AE499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Pr="00AC1686">
        <w:rPr>
          <w:rFonts w:ascii="Times New Roman" w:hAnsi="Times New Roman" w:cs="Times New Roman"/>
          <w:sz w:val="28"/>
          <w:szCs w:val="28"/>
        </w:rPr>
        <w:t>.2. Об утверждении Отчёта Главы округа о результатах его деятельности, деятельности Администрации, в том числе о решении вопросов, поставленных Думой, и оценке деятельности Главы округа за отчётный период как неудовлетворительной. При этом в решении Думы должны быть указаны:</w:t>
      </w:r>
    </w:p>
    <w:p w14:paraId="36907968" w14:textId="77777777" w:rsidR="00FF0429" w:rsidRPr="00DA15C8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 xml:space="preserve">предложения и поручения по устранению Главой округа и </w:t>
      </w:r>
      <w:r w:rsidRPr="00DA15C8">
        <w:rPr>
          <w:rFonts w:ascii="Times New Roman" w:hAnsi="Times New Roman" w:cs="Times New Roman"/>
          <w:sz w:val="28"/>
          <w:szCs w:val="28"/>
        </w:rPr>
        <w:t>Администрацией недостатков их деятельности;</w:t>
      </w:r>
    </w:p>
    <w:p w14:paraId="5F8E4A9E" w14:textId="77777777" w:rsidR="00FF0429" w:rsidRPr="00DA15C8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5C8">
        <w:rPr>
          <w:rFonts w:ascii="Times New Roman" w:hAnsi="Times New Roman" w:cs="Times New Roman"/>
          <w:sz w:val="28"/>
          <w:szCs w:val="28"/>
        </w:rPr>
        <w:t xml:space="preserve">сроки для устранения недостатков, </w:t>
      </w:r>
      <w:r w:rsidRPr="00DA15C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учитывающие </w:t>
      </w:r>
      <w:r w:rsidRPr="00DA15C8">
        <w:rPr>
          <w:rFonts w:ascii="Times New Roman" w:hAnsi="Times New Roman" w:cs="Times New Roman"/>
          <w:sz w:val="28"/>
          <w:szCs w:val="28"/>
        </w:rPr>
        <w:t>сложность устранения выявленных проблем;</w:t>
      </w:r>
    </w:p>
    <w:p w14:paraId="70D1864F" w14:textId="77777777" w:rsidR="00FF0429" w:rsidRPr="00AC1686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5C8">
        <w:rPr>
          <w:rFonts w:ascii="Times New Roman" w:hAnsi="Times New Roman" w:cs="Times New Roman"/>
          <w:sz w:val="28"/>
          <w:szCs w:val="28"/>
        </w:rPr>
        <w:t>сроки информирования Думы об их устранении</w:t>
      </w:r>
      <w:r w:rsidRPr="00AC1686">
        <w:rPr>
          <w:rFonts w:ascii="Times New Roman" w:hAnsi="Times New Roman" w:cs="Times New Roman"/>
          <w:sz w:val="28"/>
          <w:szCs w:val="28"/>
        </w:rPr>
        <w:t>, не превышающие 90 календарных дней с момента вступления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AC1686">
        <w:rPr>
          <w:rFonts w:ascii="Times New Roman" w:hAnsi="Times New Roman" w:cs="Times New Roman"/>
          <w:sz w:val="28"/>
          <w:szCs w:val="28"/>
        </w:rPr>
        <w:t>.</w:t>
      </w:r>
    </w:p>
    <w:p w14:paraId="311A68A8" w14:textId="77777777" w:rsidR="00FF0429" w:rsidRPr="00621618" w:rsidRDefault="00FF0429" w:rsidP="00FF0429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18">
        <w:rPr>
          <w:rFonts w:ascii="Times New Roman" w:hAnsi="Times New Roman" w:cs="Times New Roman"/>
          <w:sz w:val="28"/>
          <w:szCs w:val="28"/>
        </w:rPr>
        <w:t>4.15. Решения, указанные в пунктах 4.14.1, 4.14.2 настоящего Порядка, принимаются Думой открытым голосованием большинством голосов от установленной численности депутатов Думы, с соблюдением требований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1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2161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D2DB47E" w14:textId="77777777" w:rsidR="00FF0429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03F1">
        <w:rPr>
          <w:rFonts w:eastAsiaTheme="minorHAnsi"/>
          <w:sz w:val="28"/>
          <w:szCs w:val="28"/>
          <w:lang w:eastAsia="en-US"/>
        </w:rPr>
        <w:t xml:space="preserve">4.16. В случае если вновь избранный </w:t>
      </w:r>
      <w:r>
        <w:rPr>
          <w:rFonts w:eastAsiaTheme="minorHAnsi"/>
          <w:sz w:val="28"/>
          <w:szCs w:val="28"/>
          <w:lang w:eastAsia="en-US"/>
        </w:rPr>
        <w:t>Г</w:t>
      </w:r>
      <w:r w:rsidRPr="000703F1">
        <w:rPr>
          <w:rFonts w:eastAsiaTheme="minorHAnsi"/>
          <w:sz w:val="28"/>
          <w:szCs w:val="28"/>
          <w:lang w:eastAsia="en-US"/>
        </w:rPr>
        <w:t xml:space="preserve">лава округа исполнял свои полномочия в </w:t>
      </w:r>
      <w:r w:rsidRPr="00621618">
        <w:rPr>
          <w:rFonts w:eastAsiaTheme="minorHAnsi"/>
          <w:sz w:val="28"/>
          <w:szCs w:val="28"/>
          <w:lang w:eastAsia="en-US"/>
        </w:rPr>
        <w:t xml:space="preserve">занимаемой должности менее одного года, представленный </w:t>
      </w:r>
      <w:r w:rsidRPr="00621618">
        <w:rPr>
          <w:rFonts w:eastAsiaTheme="minorHAnsi"/>
          <w:sz w:val="28"/>
          <w:szCs w:val="28"/>
          <w:lang w:eastAsia="en-US"/>
        </w:rPr>
        <w:br/>
        <w:t xml:space="preserve">им отчет не подлежит оценке </w:t>
      </w:r>
      <w:r>
        <w:rPr>
          <w:rFonts w:eastAsiaTheme="minorHAnsi"/>
          <w:sz w:val="28"/>
          <w:szCs w:val="28"/>
          <w:lang w:eastAsia="en-US"/>
        </w:rPr>
        <w:t>деятельности Главы округа</w:t>
      </w:r>
      <w:r w:rsidRPr="00621618">
        <w:rPr>
          <w:rFonts w:eastAsiaTheme="minorHAnsi"/>
          <w:sz w:val="28"/>
          <w:szCs w:val="28"/>
          <w:lang w:eastAsia="en-US"/>
        </w:rPr>
        <w:t xml:space="preserve"> со стороны Думы. </w:t>
      </w:r>
    </w:p>
    <w:p w14:paraId="3D724035" w14:textId="77777777" w:rsidR="00FF0429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</w:t>
      </w:r>
      <w:r w:rsidRPr="00621618">
        <w:rPr>
          <w:spacing w:val="3"/>
          <w:sz w:val="28"/>
          <w:szCs w:val="28"/>
        </w:rPr>
        <w:t xml:space="preserve">о итогам рассмотрения Дума </w:t>
      </w:r>
      <w:r>
        <w:rPr>
          <w:spacing w:val="3"/>
          <w:sz w:val="28"/>
          <w:szCs w:val="28"/>
        </w:rPr>
        <w:t xml:space="preserve">принимает решение о принятии Отчета Главы округа к сведению. </w:t>
      </w:r>
    </w:p>
    <w:p w14:paraId="63160373" w14:textId="77777777" w:rsidR="00FF0429" w:rsidRPr="00CC0DED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Указанное в настоящем пункте решение </w:t>
      </w:r>
      <w:r w:rsidRPr="00621618">
        <w:rPr>
          <w:sz w:val="28"/>
          <w:szCs w:val="28"/>
        </w:rPr>
        <w:t>принима</w:t>
      </w:r>
      <w:r>
        <w:rPr>
          <w:sz w:val="28"/>
          <w:szCs w:val="28"/>
        </w:rPr>
        <w:t>е</w:t>
      </w:r>
      <w:r w:rsidRPr="00621618">
        <w:rPr>
          <w:sz w:val="28"/>
          <w:szCs w:val="28"/>
        </w:rPr>
        <w:t>тся Думой открытым голосованием большинством голосов от установленной численности депутатов Думы</w:t>
      </w:r>
      <w:r>
        <w:rPr>
          <w:sz w:val="28"/>
          <w:szCs w:val="28"/>
        </w:rPr>
        <w:t>.</w:t>
      </w:r>
    </w:p>
    <w:p w14:paraId="5E8F3695" w14:textId="77777777" w:rsidR="00FF0429" w:rsidRDefault="00FF0429" w:rsidP="00FF0429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DC9DF" w14:textId="77777777" w:rsidR="00FF0429" w:rsidRDefault="00FF0429" w:rsidP="00FF0429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268">
        <w:rPr>
          <w:rFonts w:ascii="Times New Roman" w:hAnsi="Times New Roman" w:cs="Times New Roman"/>
          <w:b/>
          <w:sz w:val="28"/>
          <w:szCs w:val="28"/>
        </w:rPr>
        <w:t>V. Критерии оценки деятельности Главы округа</w:t>
      </w:r>
    </w:p>
    <w:p w14:paraId="72A63E62" w14:textId="77777777" w:rsidR="00FF0429" w:rsidRPr="00A64C1F" w:rsidRDefault="00FF0429" w:rsidP="00FF0429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B435A7" w14:textId="77777777" w:rsidR="00FF0429" w:rsidRPr="00547FFC" w:rsidRDefault="00FF0429" w:rsidP="00FF0429">
      <w:pPr>
        <w:spacing w:after="0" w:line="320" w:lineRule="exact"/>
        <w:ind w:left="23" w:firstLine="6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3B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5.1. </w:t>
      </w:r>
      <w:r w:rsidRPr="00223B0A">
        <w:rPr>
          <w:rFonts w:ascii="Times New Roman" w:hAnsi="Times New Roman" w:cs="Times New Roman"/>
          <w:sz w:val="28"/>
          <w:szCs w:val="28"/>
        </w:rPr>
        <w:t xml:space="preserve">Оценка деятельности Главы округа по итогам рассмотрения Отчета </w:t>
      </w:r>
      <w:r w:rsidRPr="00547FFC">
        <w:rPr>
          <w:rFonts w:ascii="Times New Roman" w:hAnsi="Times New Roman" w:cs="Times New Roman"/>
          <w:sz w:val="28"/>
          <w:szCs w:val="28"/>
        </w:rPr>
        <w:t xml:space="preserve">Главы округа осуществляется на основании </w:t>
      </w:r>
      <w:r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достижения в отчетном периоде целевых показателей результативности реализации Стратегии социально</w:t>
      </w:r>
      <w:r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noBreakHyphen/>
        <w:t>экономического развития Соликамского муниципального округа, предусмотренных Планом реализации Стратегии социально</w:t>
      </w:r>
      <w:r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noBreakHyphen/>
        <w:t>экономического развития Соликамского муниципального округа (далее – показатели), и уровня удовлетворённости населения.</w:t>
      </w:r>
    </w:p>
    <w:p w14:paraId="127B31D8" w14:textId="77777777" w:rsidR="00FF0429" w:rsidRPr="00547FFC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356330">
        <w:rPr>
          <w:rStyle w:val="ad"/>
          <w:b w:val="0"/>
          <w:bCs w:val="0"/>
          <w:spacing w:val="3"/>
          <w:sz w:val="28"/>
          <w:szCs w:val="28"/>
        </w:rPr>
        <w:t>5.2.</w:t>
      </w:r>
      <w:r w:rsidRPr="00356330">
        <w:rPr>
          <w:spacing w:val="3"/>
          <w:sz w:val="28"/>
          <w:szCs w:val="28"/>
        </w:rPr>
        <w:t> Уровень удовлетворённости населения проводится по следующим направлениям</w:t>
      </w:r>
      <w:r w:rsidRPr="00547FFC">
        <w:rPr>
          <w:spacing w:val="3"/>
          <w:sz w:val="28"/>
          <w:szCs w:val="28"/>
        </w:rPr>
        <w:t>:</w:t>
      </w:r>
    </w:p>
    <w:p w14:paraId="1B33EDC8" w14:textId="77777777" w:rsidR="00FF0429" w:rsidRPr="007C1B4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t>медицинская помощь;</w:t>
      </w:r>
    </w:p>
    <w:p w14:paraId="3235E1FB" w14:textId="77777777" w:rsidR="00FF0429" w:rsidRPr="007C1B4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t>качество дошкольного образования;</w:t>
      </w:r>
    </w:p>
    <w:p w14:paraId="582B293B" w14:textId="77777777" w:rsidR="00FF0429" w:rsidRPr="007C1B4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t>деятельность Главы округа и Администрации (включая информационную открытость).</w:t>
      </w:r>
    </w:p>
    <w:p w14:paraId="0AD9AE7A" w14:textId="77777777" w:rsidR="00FF0429" w:rsidRPr="00A64C1F" w:rsidRDefault="00FF0429" w:rsidP="00FF0429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FFC">
        <w:rPr>
          <w:rFonts w:ascii="Times New Roman" w:hAnsi="Times New Roman" w:cs="Times New Roman"/>
          <w:sz w:val="28"/>
          <w:szCs w:val="28"/>
        </w:rPr>
        <w:lastRenderedPageBreak/>
        <w:t>5.2.1. Определение уровня удовлетворенности населения по указанным в пункте 5.2 настоящего Порядка направлени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547FFC">
        <w:rPr>
          <w:rFonts w:ascii="Times New Roman" w:hAnsi="Times New Roman" w:cs="Times New Roman"/>
          <w:sz w:val="28"/>
          <w:szCs w:val="28"/>
        </w:rPr>
        <w:t xml:space="preserve"> определяется посредством проведения социологического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опроса.</w:t>
      </w:r>
      <w:r w:rsidRPr="006313F0">
        <w:rPr>
          <w:rFonts w:ascii="Times New Roman" w:hAnsi="Times New Roman" w:cs="Times New Roman"/>
          <w:sz w:val="28"/>
          <w:szCs w:val="28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>Порядок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64C1F">
        <w:rPr>
          <w:rFonts w:ascii="Times New Roman" w:hAnsi="Times New Roman" w:cs="Times New Roman"/>
          <w:sz w:val="28"/>
          <w:szCs w:val="28"/>
        </w:rPr>
        <w:t xml:space="preserve">проведения социологического опроса для определения уровня удовлетворенности </w:t>
      </w:r>
      <w:r w:rsidRPr="007D6ABA">
        <w:rPr>
          <w:rFonts w:ascii="Times New Roman" w:hAnsi="Times New Roman" w:cs="Times New Roman"/>
          <w:sz w:val="28"/>
          <w:szCs w:val="28"/>
        </w:rPr>
        <w:t>населения устанавливается решением Думы.</w:t>
      </w:r>
    </w:p>
    <w:p w14:paraId="5C074354" w14:textId="77777777" w:rsidR="00FF0429" w:rsidRPr="00634C3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56330">
        <w:rPr>
          <w:rStyle w:val="ad"/>
          <w:b w:val="0"/>
          <w:bCs w:val="0"/>
          <w:spacing w:val="3"/>
          <w:sz w:val="28"/>
          <w:szCs w:val="28"/>
        </w:rPr>
        <w:t>5.3.</w:t>
      </w:r>
      <w:r w:rsidRPr="00547FFC">
        <w:rPr>
          <w:spacing w:val="3"/>
          <w:sz w:val="28"/>
          <w:szCs w:val="28"/>
        </w:rPr>
        <w:t> Оценка по показателям, за исключением показателей 1.2</w:t>
      </w:r>
      <w:r w:rsidRPr="00634C35">
        <w:rPr>
          <w:spacing w:val="3"/>
          <w:sz w:val="28"/>
          <w:szCs w:val="28"/>
        </w:rPr>
        <w:t>, 2.6, 3.10, 5.1, 5.2, 6.</w:t>
      </w:r>
      <w:r w:rsidRPr="00634C35">
        <w:rPr>
          <w:rFonts w:eastAsiaTheme="minorHAnsi"/>
          <w:sz w:val="28"/>
          <w:szCs w:val="28"/>
          <w:lang w:eastAsia="en-US"/>
        </w:rPr>
        <w:t>2, 6.3, установленных приложением к настоящему Порядку:</w:t>
      </w:r>
    </w:p>
    <w:p w14:paraId="1DAED285" w14:textId="77777777" w:rsidR="00FF0429" w:rsidRPr="00634C3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</w:t>
      </w:r>
      <w:r w:rsidRPr="00634C35">
        <w:rPr>
          <w:rFonts w:eastAsiaTheme="minorHAnsi"/>
          <w:bCs/>
          <w:sz w:val="28"/>
          <w:szCs w:val="28"/>
          <w:lang w:eastAsia="en-US"/>
        </w:rPr>
        <w:t>удовлетворительной</w:t>
      </w:r>
      <w:r w:rsidRPr="00634C35">
        <w:rPr>
          <w:rFonts w:eastAsiaTheme="minorHAnsi"/>
          <w:sz w:val="28"/>
          <w:szCs w:val="28"/>
          <w:lang w:eastAsia="en-US"/>
        </w:rPr>
        <w:t xml:space="preserve"> по показателю, если процент его достижения равен или превышает </w:t>
      </w:r>
      <w:r w:rsidRPr="00634C35">
        <w:rPr>
          <w:rFonts w:eastAsiaTheme="minorHAnsi"/>
          <w:bCs/>
          <w:sz w:val="28"/>
          <w:szCs w:val="28"/>
          <w:lang w:eastAsia="en-US"/>
        </w:rPr>
        <w:t>95 %</w:t>
      </w:r>
      <w:r w:rsidRPr="00634C35">
        <w:rPr>
          <w:rFonts w:eastAsiaTheme="minorHAnsi"/>
          <w:sz w:val="28"/>
          <w:szCs w:val="28"/>
          <w:lang w:eastAsia="en-US"/>
        </w:rPr>
        <w:t> от планового значения;</w:t>
      </w:r>
    </w:p>
    <w:p w14:paraId="56CF0C76" w14:textId="77777777" w:rsidR="00FF0429" w:rsidRPr="00634C3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</w:t>
      </w:r>
      <w:r w:rsidRPr="00634C35">
        <w:rPr>
          <w:rFonts w:eastAsiaTheme="minorHAnsi"/>
          <w:bCs/>
          <w:sz w:val="28"/>
          <w:szCs w:val="28"/>
          <w:lang w:eastAsia="en-US"/>
        </w:rPr>
        <w:t>неудовлетворительной</w:t>
      </w:r>
      <w:r w:rsidRPr="00634C35">
        <w:rPr>
          <w:rFonts w:eastAsiaTheme="minorHAnsi"/>
          <w:sz w:val="28"/>
          <w:szCs w:val="28"/>
          <w:lang w:eastAsia="en-US"/>
        </w:rPr>
        <w:t> по показателю, если процент его достижения составляет </w:t>
      </w:r>
      <w:r w:rsidRPr="00634C35">
        <w:rPr>
          <w:rFonts w:eastAsiaTheme="minorHAnsi"/>
          <w:bCs/>
          <w:sz w:val="28"/>
          <w:szCs w:val="28"/>
          <w:lang w:eastAsia="en-US"/>
        </w:rPr>
        <w:t>менее 95 %</w:t>
      </w:r>
      <w:r w:rsidRPr="00634C35">
        <w:rPr>
          <w:rFonts w:eastAsiaTheme="minorHAnsi"/>
          <w:sz w:val="28"/>
          <w:szCs w:val="28"/>
          <w:lang w:eastAsia="en-US"/>
        </w:rPr>
        <w:t>.</w:t>
      </w:r>
    </w:p>
    <w:p w14:paraId="601DE408" w14:textId="77777777" w:rsidR="00FF0429" w:rsidRPr="00634C3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bCs/>
          <w:sz w:val="28"/>
          <w:szCs w:val="28"/>
          <w:lang w:eastAsia="en-US"/>
        </w:rPr>
        <w:t>5.4.</w:t>
      </w:r>
      <w:r w:rsidRPr="00634C35">
        <w:rPr>
          <w:rFonts w:eastAsiaTheme="minorHAnsi"/>
          <w:sz w:val="28"/>
          <w:szCs w:val="28"/>
          <w:lang w:eastAsia="en-US"/>
        </w:rPr>
        <w:t> По показателям 1.2, 2.6, 3.10, 5.1, 5.2, 6.2, установленных приложением к настоящему Порядку:</w:t>
      </w:r>
    </w:p>
    <w:p w14:paraId="75C1E696" w14:textId="77777777" w:rsidR="00FF0429" w:rsidRPr="00634C35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</w:t>
      </w:r>
      <w:r w:rsidRPr="00634C35">
        <w:rPr>
          <w:rFonts w:eastAsiaTheme="minorHAnsi"/>
          <w:bCs/>
          <w:sz w:val="28"/>
          <w:szCs w:val="28"/>
          <w:lang w:eastAsia="en-US"/>
        </w:rPr>
        <w:t xml:space="preserve">удовлетворительной, если </w:t>
      </w:r>
      <w:r w:rsidRPr="00634C35">
        <w:rPr>
          <w:rFonts w:eastAsiaTheme="minorHAnsi"/>
          <w:sz w:val="28"/>
          <w:szCs w:val="28"/>
          <w:lang w:eastAsia="en-US"/>
        </w:rPr>
        <w:t>процент достижения показателя равен или ниже</w:t>
      </w:r>
      <w:r w:rsidRPr="00634C35">
        <w:rPr>
          <w:rFonts w:eastAsiaTheme="minorHAnsi"/>
          <w:bCs/>
          <w:sz w:val="28"/>
          <w:szCs w:val="28"/>
          <w:lang w:eastAsia="en-US"/>
        </w:rPr>
        <w:t xml:space="preserve"> 100 %;</w:t>
      </w:r>
    </w:p>
    <w:p w14:paraId="2AB806F9" w14:textId="77777777" w:rsidR="00FF0429" w:rsidRPr="007C1B4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не</w:t>
      </w:r>
      <w:r w:rsidRPr="00634C35">
        <w:rPr>
          <w:rFonts w:eastAsiaTheme="minorHAnsi"/>
          <w:bCs/>
          <w:sz w:val="28"/>
          <w:szCs w:val="28"/>
          <w:lang w:eastAsia="en-US"/>
        </w:rPr>
        <w:t>удовлетворительной, если</w:t>
      </w:r>
      <w:r w:rsidRPr="007C1B40">
        <w:rPr>
          <w:rFonts w:eastAsiaTheme="minorHAnsi"/>
          <w:bCs/>
          <w:lang w:eastAsia="en-US"/>
        </w:rPr>
        <w:t xml:space="preserve"> </w:t>
      </w:r>
      <w:r w:rsidRPr="007C1B40">
        <w:rPr>
          <w:rFonts w:eastAsiaTheme="minorHAnsi"/>
          <w:sz w:val="28"/>
          <w:szCs w:val="28"/>
          <w:lang w:eastAsia="en-US"/>
        </w:rPr>
        <w:t>процент достижения показателя превышает</w:t>
      </w:r>
      <w:r w:rsidRPr="007C1B40">
        <w:rPr>
          <w:rFonts w:eastAsiaTheme="minorHAnsi"/>
          <w:bCs/>
          <w:lang w:eastAsia="en-US"/>
        </w:rPr>
        <w:t xml:space="preserve"> 100 %.</w:t>
      </w:r>
    </w:p>
    <w:p w14:paraId="70F0494F" w14:textId="77777777" w:rsidR="00FF0429" w:rsidRPr="00547FFC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7C1B40">
        <w:rPr>
          <w:rFonts w:eastAsiaTheme="minorHAnsi"/>
          <w:sz w:val="28"/>
          <w:szCs w:val="28"/>
          <w:lang w:eastAsia="en-US"/>
        </w:rPr>
        <w:t>5.5. Оценка по показателю 6.3, установленному</w:t>
      </w:r>
      <w:r w:rsidRPr="00547FFC">
        <w:rPr>
          <w:spacing w:val="3"/>
          <w:sz w:val="28"/>
          <w:szCs w:val="28"/>
        </w:rPr>
        <w:t xml:space="preserve"> приложением к настоящему Порядку:</w:t>
      </w:r>
    </w:p>
    <w:p w14:paraId="4D394725" w14:textId="77777777" w:rsidR="00FF0429" w:rsidRPr="0035633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356330">
        <w:rPr>
          <w:spacing w:val="3"/>
          <w:sz w:val="28"/>
          <w:szCs w:val="28"/>
        </w:rPr>
        <w:t>деятельность признаётся 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удовлетворительной</w:t>
      </w:r>
      <w:r w:rsidRPr="00356330">
        <w:rPr>
          <w:spacing w:val="3"/>
          <w:sz w:val="28"/>
          <w:szCs w:val="28"/>
        </w:rPr>
        <w:t xml:space="preserve"> по показателю при получении 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50 %</w:t>
      </w:r>
      <w:r w:rsidRPr="00356330">
        <w:rPr>
          <w:spacing w:val="3"/>
          <w:sz w:val="28"/>
          <w:szCs w:val="28"/>
        </w:rPr>
        <w:t> и более положительных ответов от общего числа опрошенных;</w:t>
      </w:r>
    </w:p>
    <w:p w14:paraId="296B4291" w14:textId="77777777" w:rsidR="00FF0429" w:rsidRPr="0035633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356330">
        <w:rPr>
          <w:spacing w:val="3"/>
          <w:sz w:val="28"/>
          <w:szCs w:val="28"/>
        </w:rPr>
        <w:t>деятельность признаётся не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удовлетворительной</w:t>
      </w:r>
      <w:r w:rsidRPr="00356330">
        <w:rPr>
          <w:spacing w:val="3"/>
          <w:sz w:val="28"/>
          <w:szCs w:val="28"/>
        </w:rPr>
        <w:t xml:space="preserve"> по показателю при получении 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менее 50 %</w:t>
      </w:r>
      <w:r w:rsidRPr="00356330">
        <w:rPr>
          <w:spacing w:val="3"/>
          <w:sz w:val="28"/>
          <w:szCs w:val="28"/>
        </w:rPr>
        <w:t> положительных ответов от общего числа опрошенных.</w:t>
      </w:r>
    </w:p>
    <w:p w14:paraId="12E56C47" w14:textId="77777777" w:rsidR="00FF0429" w:rsidRPr="0035633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356330">
        <w:rPr>
          <w:spacing w:val="3"/>
          <w:sz w:val="28"/>
          <w:szCs w:val="28"/>
        </w:rPr>
        <w:t>5.6. По итогам рассмотрения Отчета Главы округа:</w:t>
      </w:r>
    </w:p>
    <w:p w14:paraId="06778ABB" w14:textId="77777777" w:rsidR="00FF0429" w:rsidRPr="0035633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356330">
        <w:rPr>
          <w:spacing w:val="3"/>
          <w:sz w:val="28"/>
          <w:szCs w:val="28"/>
        </w:rPr>
        <w:t>деятельность Главы округа признаётся 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удовлетворительной</w:t>
      </w:r>
      <w:r w:rsidRPr="00356330">
        <w:rPr>
          <w:spacing w:val="3"/>
          <w:sz w:val="28"/>
          <w:szCs w:val="28"/>
        </w:rPr>
        <w:t>, если 50 % и более показателей оценены как удовлетворительные;</w:t>
      </w:r>
    </w:p>
    <w:p w14:paraId="3311DE7C" w14:textId="77777777" w:rsidR="00FF0429" w:rsidRPr="00356330" w:rsidRDefault="00FF0429" w:rsidP="00FF0429">
      <w:pPr>
        <w:pStyle w:val="ac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356330">
        <w:rPr>
          <w:spacing w:val="3"/>
          <w:sz w:val="28"/>
          <w:szCs w:val="28"/>
        </w:rPr>
        <w:t>деятельность Главы округа признаётся </w:t>
      </w:r>
      <w:r w:rsidRPr="00356330">
        <w:rPr>
          <w:rStyle w:val="ad"/>
          <w:b w:val="0"/>
          <w:bCs w:val="0"/>
          <w:spacing w:val="3"/>
          <w:sz w:val="28"/>
          <w:szCs w:val="28"/>
        </w:rPr>
        <w:t>неудовлетворительной</w:t>
      </w:r>
      <w:r w:rsidRPr="00356330">
        <w:rPr>
          <w:spacing w:val="3"/>
          <w:sz w:val="28"/>
          <w:szCs w:val="28"/>
        </w:rPr>
        <w:t>, если более 50 % показателей оценены как неудовлетворительные.</w:t>
      </w:r>
    </w:p>
    <w:p w14:paraId="4F90F783" w14:textId="77777777" w:rsidR="00FF0429" w:rsidRPr="00F274CA" w:rsidRDefault="00FF0429" w:rsidP="00FF0429">
      <w:pPr>
        <w:spacing w:after="0" w:line="320" w:lineRule="exact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330">
        <w:rPr>
          <w:rFonts w:ascii="Times New Roman" w:hAnsi="Times New Roman" w:cs="Times New Roman"/>
          <w:sz w:val="28"/>
          <w:szCs w:val="28"/>
        </w:rPr>
        <w:t>5.7. Неудовлетворительная оценка Думой деятельности Главы</w:t>
      </w:r>
      <w:r w:rsidRPr="00F274CA">
        <w:rPr>
          <w:rFonts w:ascii="Times New Roman" w:hAnsi="Times New Roman" w:cs="Times New Roman"/>
          <w:sz w:val="28"/>
          <w:szCs w:val="28"/>
        </w:rPr>
        <w:t xml:space="preserve"> округа по результатам рассмотрения Отчета Главы округа, данная по итогам двух отчетных периодов подряд, является основанием для удаления Главы округа в отставку.</w:t>
      </w:r>
    </w:p>
    <w:p w14:paraId="07744CD6" w14:textId="77777777" w:rsidR="00FF0429" w:rsidRDefault="00FF0429" w:rsidP="00FF0429">
      <w:pPr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B464F8" w14:textId="77777777" w:rsidR="00FF0429" w:rsidRPr="00FB16D2" w:rsidRDefault="00FF0429" w:rsidP="00FF0429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14:paraId="0A922C8E" w14:textId="77777777" w:rsidR="00FF0429" w:rsidRPr="00FB16D2" w:rsidRDefault="00FF0429" w:rsidP="00FF0429">
      <w:pPr>
        <w:spacing w:after="240" w:line="240" w:lineRule="exact"/>
        <w:ind w:left="48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Порядку заслушивания ежегодного отчета главы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 – главы администрации Соликамского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 о результатах его деятельности, деятельности администрации Соликамского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округа, в том числе о решении вопросов, поставленных Думой Соликамского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</w:p>
    <w:p w14:paraId="24C3E861" w14:textId="77777777" w:rsidR="00FF0429" w:rsidRDefault="00FF0429" w:rsidP="00FF0429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16D2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показателей и достигнутых значений показателей, применяемых при оценке деятельности Главы округа </w:t>
      </w:r>
    </w:p>
    <w:p w14:paraId="0AB68BD6" w14:textId="77777777" w:rsidR="00FF0429" w:rsidRPr="00FB16D2" w:rsidRDefault="00FF0429" w:rsidP="00FF0429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отчетный период</w:t>
      </w:r>
    </w:p>
    <w:tbl>
      <w:tblPr>
        <w:tblW w:w="9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2"/>
        <w:gridCol w:w="3468"/>
        <w:gridCol w:w="1446"/>
        <w:gridCol w:w="1420"/>
        <w:gridCol w:w="877"/>
        <w:gridCol w:w="1562"/>
        <w:gridCol w:w="14"/>
      </w:tblGrid>
      <w:tr w:rsidR="00FF0429" w:rsidRPr="00FB16D2" w14:paraId="519FB18C" w14:textId="77777777" w:rsidTr="00FF0429">
        <w:trPr>
          <w:gridAfter w:val="1"/>
          <w:wAfter w:w="1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45DE" w14:textId="77777777" w:rsidR="00FF0429" w:rsidRPr="006C54AD" w:rsidRDefault="00FF0429" w:rsidP="00C9460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272D" w14:textId="77777777" w:rsidR="00FF0429" w:rsidRPr="006C54AD" w:rsidRDefault="00FF0429" w:rsidP="00C9460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8E70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14:paraId="5ECC3528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 показателя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2189" w14:textId="77777777" w:rsidR="00FF0429" w:rsidRPr="006C54AD" w:rsidRDefault="00FF0429" w:rsidP="00C9460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7515" w14:textId="77777777" w:rsidR="00FF0429" w:rsidRPr="006C54AD" w:rsidRDefault="00FF0429" w:rsidP="00C9460F">
            <w:pPr>
              <w:spacing w:line="240" w:lineRule="exact"/>
              <w:ind w:left="-6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достижения планового значения, %</w:t>
            </w:r>
          </w:p>
        </w:tc>
      </w:tr>
      <w:tr w:rsidR="00FF0429" w:rsidRPr="00FB16D2" w14:paraId="49343ECD" w14:textId="77777777" w:rsidTr="00FF0429">
        <w:trPr>
          <w:gridAfter w:val="1"/>
          <w:wAfter w:w="1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18B4" w14:textId="77777777" w:rsidR="00FF0429" w:rsidRPr="006C54AD" w:rsidRDefault="00FF0429" w:rsidP="00C9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B139" w14:textId="77777777" w:rsidR="00FF0429" w:rsidRPr="006C54AD" w:rsidRDefault="00FF0429" w:rsidP="00C9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86B0" w14:textId="77777777" w:rsidR="00FF0429" w:rsidRPr="006C54AD" w:rsidRDefault="00FF0429" w:rsidP="00C9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E381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B657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DF6E" w14:textId="77777777" w:rsidR="00FF0429" w:rsidRPr="006C54AD" w:rsidRDefault="00FF0429" w:rsidP="00C9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D53578C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1A8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52F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FF0429" w:rsidRPr="00FB16D2" w14:paraId="32D06168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67D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2547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Среднегодовая численность постоянного населения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F8E5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человек</w:t>
            </w:r>
          </w:p>
          <w:p w14:paraId="7E495CCD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2F2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407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DA4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410D37F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B28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3737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Миграционный прирост населения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2627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5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человек</w:t>
            </w:r>
          </w:p>
          <w:p w14:paraId="00B27299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58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7E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2D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EC414FE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6FD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BBD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Доля выпускников 11-х классов,   получивших аттестаты о среднем 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общем </w:t>
            </w:r>
            <w:r w:rsidRPr="006C54A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образовании, в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общем количестве выпускников 11 классов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19C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448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E42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CEC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33B09A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269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6D2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Превышение среднего балла Единого государственного экзамена (ЕГЭ) по   всем предметам в сравнении </w:t>
            </w: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со среднекраевым показателем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CD94" w14:textId="77777777" w:rsidR="00FF0429" w:rsidRPr="00455C41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75E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7E7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F3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4422AC6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5C7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78E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eastAsia="ru-RU"/>
              </w:rPr>
              <w:t>Доля учителей в общеобразовательных учреждениях со стажем работы до 3 лет (включительно) в общей численности учителей общеобразовательных учреждений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315E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D6F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AB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40A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9C8979E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BB2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B7F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Отношение средней заработной платы педагогических работников учреждений дополнительного образования Соликамского муниципального округа, к средней заработной плате учителей муниципальных общеобразовательных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учреждений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59E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686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538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A1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D079A7B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38A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379B" w14:textId="77777777" w:rsidR="00FF0429" w:rsidRPr="006C54AD" w:rsidRDefault="00FF0429" w:rsidP="00C9460F">
            <w:pPr>
              <w:spacing w:before="120"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 в возрасте от 3 до 7 лет, стоящих в актуальной очереди для определения в образовательные учреждения, реализующие образовательные программы дошкольного образования, в общем количестве детей в возрасте от 3 до 7 лет</w:t>
            </w: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, посещающих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2673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EE4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23B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A66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1DEFF84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2B1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D2F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различными формами оздоровления и отдыха, от числа детей в возрасте от 7 до 17 лет (включительно)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389B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867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21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45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39981BC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2E51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983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580F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2EB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2B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510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300439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D221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04B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обеспеченности населения спортивными сооружениями, исходя из их единовременной пропускной способности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D52D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E54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DA8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9CA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7CC393E3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46BC" w14:textId="77777777" w:rsidR="00FF0429" w:rsidRPr="006C54AD" w:rsidRDefault="00FF0429" w:rsidP="00C9460F">
            <w:pPr>
              <w:spacing w:after="120" w:line="240" w:lineRule="exact"/>
              <w:ind w:right="-2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15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организаций, имеющих бессрочные лицензии на осуществление образовательной деятельности от общего количества образовательных организаций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B4D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C0C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356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0AA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F2E639E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68E4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F5B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учреждений культуры, здания которых находятся в нормативном  состоянии  и не требуют  капитального  ремонта,  в общем количестве муниципальных учреждении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C700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0A2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CBD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39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516060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63DD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E95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объектов культурного наследия, находящихся в муниципальной собственности и не требующих капитального ремонта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1A42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137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A77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0A4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29B8DE3D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6DD9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EAD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объектов социальной сферы, находящихся в муниципальной собственности,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доступных для маломобильных групп населения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C946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439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DF4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DA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2E6A88E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9DA2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10A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средней заработной платы работников учреждений культуры к среднемесячному доходу от трудовой деятельности в Пермском крае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282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CE5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B06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71E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E552609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F109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C32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многодетных семей, обеспеченных    земельными участками в собственность бесплатно от числа многодетных семей, поставленных на учет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9E8B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047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45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51B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8852E30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FC77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28D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общего потока организованных туристов и экскурсантов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72A2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B49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51D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177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B297FC2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A7D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1E4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Экономическое развитие</w:t>
            </w:r>
          </w:p>
        </w:tc>
      </w:tr>
      <w:tr w:rsidR="00FF0429" w:rsidRPr="00FB16D2" w14:paraId="04772DFF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251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E277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бюджета Соликамского муниципального округа (за исключением поступлений налоговых доходов по дополнительным нормативам отчислений) в общем объеме собственных  доходов бюджета Соликамского муниципального округа (без учета субвенций)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BEA7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 w:right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B3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374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8CA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72A5A97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4EE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CCE8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площади земельных участков, являющихся объектами налогообложения земельным налогом, от общей площади территории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88D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 w:right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42D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35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7B1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9EB2487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921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AEC2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 w:right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и самозанятых граждан, использующих специальный налоговый режим «Налог на профессиональный доход» (на 10 000 человек населения)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34F9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0EE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4A3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31D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2EBD8C94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FD5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22E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количества объектов, включенных в Перечень муниципального имущества Соликамского муниципального округа,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(МСП) и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организациям, образующим инфраструктуру поддержки субъектов МСП,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2DD8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923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D3D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ED9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0400D50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D19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A2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организаций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Соликамского муниципального округа (без субъектов малого предпринимательства)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6AD1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94F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94A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C5F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54E83C8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909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6416E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Уровень регистрируемой безработицы  за год (на 1 января года)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CD42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54F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649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A45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2453DFB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46B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3AD1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eastAsia="ru-RU"/>
              </w:rPr>
              <w:t xml:space="preserve">Объем инвестиций в основной капитал (за исключением бюджетных </w:t>
            </w: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средств) в расчете на одного жителя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3752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250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D2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9EF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3A8CF54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999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A2F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Расходы местного бюджета в расчете на одного жителя Соликамского муниципального округа </w:t>
            </w: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0CFC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1A4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040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C85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0E4283D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B0EB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F45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освоенных бюджетных средств, выделенных на реализацию муниципальных программ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2DC88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393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4E8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263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F20CDEC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6EA0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A80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Доля просроченной кредиторской   задолженности по заработной плате (включая начисления на оплату труда) муниципальных учреждений в общем объеме расходов бюджета  Соликамского муниципального округа на оплату труда (включая начисления на оплату труда)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4FC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1A5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399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84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D672F16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D549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B49C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Задолженность муниципальных учреждений, организаций  по бюджету Соликамского муниципального округа в бюджеты различных уровней и внебюджетные фонды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4596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3B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6C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287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4BD5E1C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32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361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Природопользование, инфраструктура, управление ресурсами, имуществом</w:t>
            </w:r>
          </w:p>
        </w:tc>
      </w:tr>
      <w:tr w:rsidR="00FF0429" w:rsidRPr="00FB16D2" w14:paraId="4FC0D99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29C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3CF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сформированных земельных участков под жилищное строительство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8841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гектаров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76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AD6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201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B8DE7E7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722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4FC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Ввод общей площади жилья в Соликамском муниципальном округе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6AF1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кв.метров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7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4EE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27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3380470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3F6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BB31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Удельный вес введенной общей площади жилых домов по отношению к общей площади жилищного фонда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14CD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D9B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E6E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EC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A2520C5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115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B3A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Объем не завершенного в установленные  сроки строительства, осуществляемого за счет средств бюджета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5D6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863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F77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EB7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17AA36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13C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E74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Процент выполнения от установленного Соликамскому муниципальному округу показателя по расселению общей площади жилых помещений аварийного жилищного фонда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5FCA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AFC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7EF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DED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BFDDD54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F4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4DD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задолженности муниципальных учреждений за потребленные топливно-энергетические ресурсы, превышающей 2 расчетных периода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0BC5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562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BA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F49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C58B918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AF0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1295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организаций коммунального комплекса, участие Соликамского муниципального округа в уставном капитале которых составляет не менее 25%, прошедших обязательное энергетическое обследование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A7B6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B2D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545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977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083674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AEE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9E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Доход с единицы площади муниципального арендного фонда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184F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рублей/кв.м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572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65D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8C9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23FF802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FFC1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727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 роста поступлений земельного налога, арендной платы за землю, платы по соглашениям об установлении сервитутов и доходов от продажи земельных участков  в бюджет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39E4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A09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21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01C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7D3A3C3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9B6F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27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муниципального имущества, не используемого для решения вопросов местного значения муниципального округа, в общем количестве муниципального имущества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469C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92E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A08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7238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AE8023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4C60" w14:textId="77777777" w:rsidR="00FF0429" w:rsidRPr="006C54AD" w:rsidRDefault="00FF0429" w:rsidP="00C9460F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3.11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E53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просроченной задолженности по оплате взносов на капитальный ремонт муниципального имущества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C0B4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A30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94F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BBF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4B716C7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CC0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7BAD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Развитие территории Соликамского муниципального округа</w:t>
            </w:r>
          </w:p>
        </w:tc>
      </w:tr>
      <w:tr w:rsidR="00FF0429" w:rsidRPr="00FB16D2" w14:paraId="0A821D06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C03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A5DE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автомобильных дорог местного значения, отвечающих нормативным требованиям, в общей протяженности автомобильных дорог местного значения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4150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8A1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06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67C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E849007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34C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F96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федеральных и региональных проектов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E453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F9F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C92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A9E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6AFD33F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549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8B4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и общественных территорий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0B93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D0E1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36B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97F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830982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DCC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627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внутриквартальных проездов, находящихся в нормативном состоянии, в общей протяженности внутриквартальных проездов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D887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8B7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EE3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286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27F0BE92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454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42E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транспортных средств с низким расположением пола в общем числе средств, осуществляющих перевозки пассажиров городским общественным транспортом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9146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49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7C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64E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4725A1A" w14:textId="77777777" w:rsidTr="00FF0429">
        <w:trPr>
          <w:gridAfter w:val="1"/>
          <w:wAfter w:w="14" w:type="dxa"/>
          <w:trHeight w:val="23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B9F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D54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остановочных пунктов, соответствующих нормативному состоянию (ГОСТ Р 52766-2007), в общем количестве остановочных пунктов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0C97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F56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C76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FA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F7A12BA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718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6EC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обустроенных остановочных пунктов городского общественного транспорта с учетом требований доступности для маломобильных категорий граждан, к общему числу остановочных пунктов городского общественного транспорта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A1DC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6AA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B07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1A2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B593E78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565E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241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выполнения планового количества рейсов движения пассажирского транспорта до труднодоступных населенных пунктов (п.Красный Берег, п.Басим)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A5A6" w14:textId="77777777" w:rsidR="00FF0429" w:rsidRPr="006C54AD" w:rsidRDefault="00FF0429" w:rsidP="00C9460F">
            <w:pPr>
              <w:spacing w:after="120" w:line="240" w:lineRule="exact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D7F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6ED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86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005ECB6F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51C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B3AE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протяженности освещенных частей улиц в их общей протяженности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EE22" w14:textId="77777777" w:rsidR="00FF0429" w:rsidRPr="006C54AD" w:rsidRDefault="00FF0429" w:rsidP="00C9460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  <w:p w14:paraId="155C529D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16B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67D5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522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E895CF6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215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D88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Общественная безопасность</w:t>
            </w:r>
          </w:p>
        </w:tc>
      </w:tr>
      <w:tr w:rsidR="00FF0429" w:rsidRPr="00FB16D2" w14:paraId="5EA84967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04A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EB0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совершенных преступлений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8F19" w14:textId="77777777" w:rsidR="00FF0429" w:rsidRPr="006C54AD" w:rsidRDefault="00FF0429" w:rsidP="00C9460F">
            <w:pPr>
              <w:shd w:val="clear" w:color="auto" w:fill="FFFFFF"/>
              <w:ind w:left="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 на 10 000 чел.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80E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216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D73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4A2D41E1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D32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633E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в общественных местах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1BA9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0FF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599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6CF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6F7F879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422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F3B0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несовершеннолетних, состоящих на учете  в социально-опасном положении (СОП), в возрасте от 7 до 17 лет охваченных дополнительной занятостью от общего количества детей СОП от 7 до 17 лет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588A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  <w:p w14:paraId="6DB48969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74D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FA9A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BD0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C73A024" w14:textId="77777777" w:rsidTr="00FF042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38B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6B0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</w:t>
            </w:r>
          </w:p>
        </w:tc>
      </w:tr>
      <w:tr w:rsidR="00FF0429" w:rsidRPr="00FB16D2" w14:paraId="447C9FE8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728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4D28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 муниципальных услуг, предоставляемых органами местного самоуправления Соликамского муниципального округа и муниципальными учреждениями в электронном виде, в общем объеме муниципальных услуг, предоставляемых органами местного самоуправления Соликамского муниципального округа, муниципальными учреждениями, в том числе первоочередных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F1BC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C363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A42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2BC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13A6130B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5CD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DB4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Расходы бюджета Соликамского муниципального  округа на содержание органов местного самоуправления в расчете на одного жителя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1D86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D99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67BD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722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5BA54343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4F9B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D981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главы муниципального округа – главы администрации Соликамского муниципального округа, администрации Соликамского муниципального округа, в том числе их информационной открытостью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0ECB" w14:textId="77777777" w:rsidR="00FF0429" w:rsidRPr="006C54AD" w:rsidRDefault="00FF0429" w:rsidP="00C9460F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положительных ответов от числа опрошенных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4EE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9106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C2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384B52D7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40CC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BBAF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выполненных администрацией Соликамского муниципального округа решений Думы Соликамского муниципального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FFDE" w14:textId="77777777" w:rsidR="00FF0429" w:rsidRPr="006C54AD" w:rsidRDefault="00FF0429" w:rsidP="00C9460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B294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A3D0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70C7" w14:textId="77777777" w:rsidR="00FF0429" w:rsidRPr="006C54AD" w:rsidRDefault="00FF0429" w:rsidP="00C9460F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429" w:rsidRPr="00FB16D2" w14:paraId="60FB3779" w14:textId="77777777" w:rsidTr="00FF0429">
        <w:trPr>
          <w:gridAfter w:val="1"/>
          <w:wAfter w:w="14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E60F" w14:textId="77777777" w:rsidR="00FF0429" w:rsidRPr="006C54AD" w:rsidRDefault="00FF0429" w:rsidP="00C9460F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B321" w14:textId="77777777" w:rsidR="00FF0429" w:rsidRPr="006C54AD" w:rsidRDefault="00FF0429" w:rsidP="00C9460F">
            <w:pPr>
              <w:shd w:val="clear" w:color="auto" w:fill="FFFFFF"/>
              <w:spacing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повышение квалификации, в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общем количестве муниципальных служащих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BF1F" w14:textId="77777777" w:rsidR="00FF0429" w:rsidRPr="006C54AD" w:rsidRDefault="00FF0429" w:rsidP="00C9460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2B2" w14:textId="77777777" w:rsidR="00FF0429" w:rsidRPr="006C54AD" w:rsidRDefault="00FF0429" w:rsidP="00C9460F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D016" w14:textId="77777777" w:rsidR="00FF0429" w:rsidRPr="006C54AD" w:rsidRDefault="00FF0429" w:rsidP="00C9460F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9490" w14:textId="77777777" w:rsidR="00FF0429" w:rsidRPr="006C54AD" w:rsidRDefault="00FF0429" w:rsidP="00C9460F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8C01AA" w14:textId="77777777" w:rsidR="00FF0429" w:rsidRPr="00966281" w:rsidRDefault="00FF0429" w:rsidP="00FF0429">
      <w:pPr>
        <w:spacing w:after="0" w:line="28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FF0429" w:rsidRPr="00966281" w:rsidSect="00B849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C987" w14:textId="77777777" w:rsidR="00A523C6" w:rsidRDefault="00A523C6" w:rsidP="00FF0429">
      <w:pPr>
        <w:spacing w:after="0" w:line="240" w:lineRule="auto"/>
      </w:pPr>
      <w:r>
        <w:separator/>
      </w:r>
    </w:p>
  </w:endnote>
  <w:endnote w:type="continuationSeparator" w:id="0">
    <w:p w14:paraId="590BAACB" w14:textId="77777777" w:rsidR="00A523C6" w:rsidRDefault="00A523C6" w:rsidP="00FF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8541" w14:textId="77777777" w:rsidR="00B849D8" w:rsidRDefault="00B849D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3737A" w14:textId="77777777" w:rsidR="00B849D8" w:rsidRDefault="00B849D8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263C4" w14:textId="77777777" w:rsidR="00B849D8" w:rsidRDefault="00B849D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61CC" w14:textId="77777777" w:rsidR="00A523C6" w:rsidRDefault="00A523C6" w:rsidP="00FF0429">
      <w:pPr>
        <w:spacing w:after="0" w:line="240" w:lineRule="auto"/>
      </w:pPr>
      <w:r>
        <w:separator/>
      </w:r>
    </w:p>
  </w:footnote>
  <w:footnote w:type="continuationSeparator" w:id="0">
    <w:p w14:paraId="36F5CFBC" w14:textId="77777777" w:rsidR="00A523C6" w:rsidRDefault="00A523C6" w:rsidP="00FF0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9419D" w14:textId="77777777" w:rsidR="00B849D8" w:rsidRDefault="00B849D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019032"/>
      <w:docPartObj>
        <w:docPartGallery w:val="Page Numbers (Top of Page)"/>
        <w:docPartUnique/>
      </w:docPartObj>
    </w:sdtPr>
    <w:sdtEndPr/>
    <w:sdtContent>
      <w:p w14:paraId="753A0BEC" w14:textId="449E0536" w:rsidR="00B849D8" w:rsidRDefault="00B849D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4967FB" w14:textId="77777777" w:rsidR="00B849D8" w:rsidRDefault="00B849D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210E8" w14:textId="77777777" w:rsidR="00B849D8" w:rsidRDefault="00B849D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FB"/>
    <w:rsid w:val="000D060E"/>
    <w:rsid w:val="00356330"/>
    <w:rsid w:val="007249D5"/>
    <w:rsid w:val="007643FB"/>
    <w:rsid w:val="009C6CE5"/>
    <w:rsid w:val="00A523C6"/>
    <w:rsid w:val="00B16661"/>
    <w:rsid w:val="00B849D8"/>
    <w:rsid w:val="00FC73B1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131D7"/>
  <w15:chartTrackingRefBased/>
  <w15:docId w15:val="{E6135F0F-2A31-4C8A-9782-ECF5889C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429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643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3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3F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3F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3F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3F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3F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3F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3F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3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43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43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43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3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3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43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43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43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43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64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43F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64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43F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643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43F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7643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43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643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643F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F0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c">
    <w:name w:val="Normal (Web)"/>
    <w:basedOn w:val="a"/>
    <w:uiPriority w:val="99"/>
    <w:unhideWhenUsed/>
    <w:rsid w:val="00FF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F0429"/>
    <w:rPr>
      <w:b/>
      <w:bCs/>
    </w:rPr>
  </w:style>
  <w:style w:type="paragraph" w:styleId="ae">
    <w:name w:val="header"/>
    <w:basedOn w:val="a"/>
    <w:link w:val="af"/>
    <w:uiPriority w:val="99"/>
    <w:unhideWhenUsed/>
    <w:rsid w:val="00FF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F0429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FF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F042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D8731-2BEE-458F-A053-433BD1F0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3565</Words>
  <Characters>20326</Characters>
  <Application>Microsoft Office Word</Application>
  <DocSecurity>0</DocSecurity>
  <Lines>169</Lines>
  <Paragraphs>47</Paragraphs>
  <ScaleCrop>false</ScaleCrop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2025-12-22T05:45:00Z</dcterms:created>
  <dcterms:modified xsi:type="dcterms:W3CDTF">2025-12-24T03:18:00Z</dcterms:modified>
</cp:coreProperties>
</file>